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104F3" w14:textId="4F75C11B" w:rsidR="00020F4D" w:rsidRPr="00DE3FC8" w:rsidRDefault="00020F4D" w:rsidP="00020F4D">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00157ED0" w:rsidRPr="009C7672">
        <w:rPr>
          <w:sz w:val="28"/>
          <w:szCs w:val="22"/>
        </w:rPr>
        <w:t>R2-2310130</w:t>
      </w:r>
    </w:p>
    <w:p w14:paraId="2C97A23D" w14:textId="77777777" w:rsidR="00020F4D" w:rsidRDefault="00020F4D" w:rsidP="00020F4D">
      <w:pPr>
        <w:pStyle w:val="CRCoverPage"/>
        <w:outlineLvl w:val="0"/>
        <w:rPr>
          <w:b/>
          <w:noProof/>
          <w:sz w:val="24"/>
        </w:rPr>
      </w:pPr>
      <w:r>
        <w:rPr>
          <w:b/>
          <w:noProof/>
          <w:sz w:val="24"/>
        </w:rPr>
        <w:t xml:space="preserve">Xiamen, China, 9 – 13 Oct 2023                            </w:t>
      </w:r>
    </w:p>
    <w:p w14:paraId="6099013E" w14:textId="77777777" w:rsidR="002005D9" w:rsidRDefault="002005D9" w:rsidP="00F64C2B">
      <w:pPr>
        <w:pStyle w:val="3GPPHeader"/>
        <w:rPr>
          <w:sz w:val="22"/>
          <w:szCs w:val="22"/>
          <w:lang w:val="en-US"/>
        </w:rPr>
      </w:pPr>
    </w:p>
    <w:p w14:paraId="7F4474A6" w14:textId="70BD3E9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71657">
        <w:rPr>
          <w:sz w:val="22"/>
          <w:szCs w:val="22"/>
          <w:lang w:val="en-US"/>
        </w:rPr>
        <w:t>7</w:t>
      </w:r>
      <w:r w:rsidR="00336690">
        <w:rPr>
          <w:sz w:val="22"/>
          <w:szCs w:val="22"/>
          <w:lang w:val="en-US"/>
        </w:rPr>
        <w:t>.15.</w:t>
      </w:r>
      <w:r w:rsidR="000E28C0">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C2A3D55" w:rsidR="00E90E49" w:rsidRPr="00CE0424" w:rsidRDefault="003D3C45" w:rsidP="00311702">
      <w:pPr>
        <w:pStyle w:val="3GPPHeader"/>
        <w:rPr>
          <w:sz w:val="22"/>
          <w:szCs w:val="22"/>
        </w:rPr>
      </w:pPr>
      <w:r>
        <w:rPr>
          <w:sz w:val="22"/>
          <w:szCs w:val="22"/>
        </w:rPr>
        <w:t>Title:</w:t>
      </w:r>
      <w:r w:rsidR="00E90E49" w:rsidRPr="00CE0424">
        <w:rPr>
          <w:sz w:val="22"/>
          <w:szCs w:val="22"/>
        </w:rPr>
        <w:tab/>
      </w:r>
      <w:r w:rsidR="00B41C2D">
        <w:rPr>
          <w:sz w:val="22"/>
          <w:szCs w:val="22"/>
        </w:rPr>
        <w:t>SL in FR2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014126D9" w14:textId="7D283D6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RP-2</w:t>
      </w:r>
      <w:r w:rsidR="003532CD">
        <w:rPr>
          <w:rFonts w:ascii="Arial" w:hAnsi="Arial" w:cs="Arial"/>
          <w:bCs/>
          <w:lang w:val="en-US"/>
        </w:rPr>
        <w:t>30077</w:t>
      </w:r>
      <w:r w:rsidRPr="001E7675">
        <w:rPr>
          <w:rFonts w:ascii="Arial" w:hAnsi="Arial" w:cs="Arial"/>
          <w:bCs/>
          <w:lang w:val="en-US"/>
        </w:rPr>
        <w:t>, the objective for FR2 is defined as follows:</w:t>
      </w:r>
    </w:p>
    <w:p w14:paraId="3B7BFD78" w14:textId="7777777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w:t>
      </w:r>
    </w:p>
    <w:p w14:paraId="1EB7A5A3" w14:textId="77777777" w:rsidR="001E7675" w:rsidRPr="001E7675" w:rsidRDefault="001E7675" w:rsidP="001E7675">
      <w:pPr>
        <w:numPr>
          <w:ilvl w:val="0"/>
          <w:numId w:val="26"/>
        </w:numPr>
        <w:spacing w:before="60" w:after="60"/>
        <w:textAlignment w:val="baseline"/>
        <w:rPr>
          <w:rFonts w:ascii="Arial" w:hAnsi="Arial" w:cs="Arial"/>
          <w:bCs/>
        </w:rPr>
      </w:pPr>
      <w:bookmarkStart w:id="0" w:name="_Hlk89917254"/>
      <w:r w:rsidRPr="001E7675">
        <w:rPr>
          <w:rFonts w:ascii="Arial" w:hAnsi="Arial" w:cs="Arial"/>
          <w:bCs/>
          <w:iCs/>
        </w:rPr>
        <w:t>Study enhanced sidelink operation on FR2 licensed spectrum [RAN1, RAN2]</w:t>
      </w:r>
      <w:bookmarkEnd w:id="0"/>
    </w:p>
    <w:p w14:paraId="065A1045" w14:textId="77777777" w:rsidR="001E7675" w:rsidRPr="001E7675" w:rsidRDefault="001E7675" w:rsidP="001E7675">
      <w:pPr>
        <w:numPr>
          <w:ilvl w:val="0"/>
          <w:numId w:val="25"/>
        </w:numPr>
        <w:spacing w:before="60" w:after="60"/>
        <w:textAlignment w:val="baseline"/>
        <w:rPr>
          <w:rFonts w:ascii="Arial" w:hAnsi="Arial" w:cs="Arial"/>
          <w:bCs/>
        </w:rPr>
      </w:pPr>
      <w:bookmarkStart w:id="1" w:name="_Hlk89917271"/>
      <w:r w:rsidRPr="001E7675">
        <w:rPr>
          <w:rFonts w:ascii="Arial" w:hAnsi="Arial" w:cs="Arial"/>
          <w:bCs/>
        </w:rPr>
        <w:t>Focus only on updating the evaluation methodology for commercial deployment scenario</w:t>
      </w:r>
      <w:bookmarkEnd w:id="1"/>
      <w:r w:rsidRPr="001E7675">
        <w:rPr>
          <w:rFonts w:ascii="Arial" w:hAnsi="Arial" w:cs="Arial"/>
          <w:bCs/>
        </w:rPr>
        <w:t xml:space="preserve"> in 4Q 2022. [RAN1]</w:t>
      </w:r>
    </w:p>
    <w:p w14:paraId="482EE76E" w14:textId="77777777" w:rsidR="001E7675" w:rsidRPr="001E7675" w:rsidRDefault="001E7675" w:rsidP="001E7675">
      <w:pPr>
        <w:numPr>
          <w:ilvl w:val="0"/>
          <w:numId w:val="25"/>
        </w:numPr>
        <w:spacing w:before="60" w:after="60"/>
        <w:textAlignment w:val="baseline"/>
        <w:rPr>
          <w:rFonts w:ascii="Arial" w:hAnsi="Arial" w:cs="Arial"/>
          <w:bCs/>
        </w:rPr>
      </w:pPr>
      <w:bookmarkStart w:id="2" w:name="_Hlk89917283"/>
      <w:r w:rsidRPr="001E7675">
        <w:rPr>
          <w:rFonts w:ascii="Arial" w:hAnsi="Arial" w:cs="Arial"/>
          <w:bCs/>
          <w:iCs/>
        </w:rPr>
        <w:t xml:space="preserve">Study is limited to the support of sidelink beam management (including initial beam-pairing, beam maintenance, and beam failure recovery, etc) by reusing existing sidelink CSI framework and reusing </w:t>
      </w:r>
      <w:proofErr w:type="spellStart"/>
      <w:r w:rsidRPr="001E7675">
        <w:rPr>
          <w:rFonts w:ascii="Arial" w:hAnsi="Arial" w:cs="Arial"/>
          <w:bCs/>
          <w:iCs/>
        </w:rPr>
        <w:t>Uu</w:t>
      </w:r>
      <w:proofErr w:type="spellEnd"/>
      <w:r w:rsidRPr="001E7675">
        <w:rPr>
          <w:rFonts w:ascii="Arial" w:hAnsi="Arial" w:cs="Arial"/>
          <w:bCs/>
          <w:iCs/>
        </w:rPr>
        <w:t xml:space="preserve"> beam management concepts wherever possible.</w:t>
      </w:r>
      <w:bookmarkEnd w:id="2"/>
      <w:r w:rsidRPr="001E7675">
        <w:rPr>
          <w:rFonts w:ascii="Arial" w:hAnsi="Arial" w:cs="Arial"/>
          <w:bCs/>
          <w:iCs/>
        </w:rPr>
        <w:t xml:space="preserve"> [RAN1, RAN2]</w:t>
      </w:r>
    </w:p>
    <w:p w14:paraId="4A7141EC" w14:textId="77777777" w:rsidR="001E7675" w:rsidRPr="001E7675" w:rsidRDefault="001E7675" w:rsidP="001E7675">
      <w:pPr>
        <w:numPr>
          <w:ilvl w:val="1"/>
          <w:numId w:val="25"/>
        </w:numPr>
        <w:spacing w:before="60" w:after="60"/>
        <w:textAlignment w:val="baseline"/>
        <w:rPr>
          <w:rFonts w:ascii="Arial" w:hAnsi="Arial" w:cs="Arial"/>
          <w:bCs/>
        </w:rPr>
      </w:pPr>
      <w:bookmarkStart w:id="3" w:name="_Hlk89917309"/>
      <w:r w:rsidRPr="001E7675">
        <w:rPr>
          <w:rFonts w:ascii="Arial" w:hAnsi="Arial" w:cs="Arial"/>
          <w:bCs/>
        </w:rPr>
        <w:t>Beam management in FR2 licensed spectrum considers sidelink unicast communication only.</w:t>
      </w:r>
      <w:bookmarkEnd w:id="3"/>
      <w:r w:rsidRPr="001E7675">
        <w:rPr>
          <w:rFonts w:ascii="Arial" w:hAnsi="Arial" w:cs="Arial"/>
          <w:bCs/>
        </w:rPr>
        <w:t>”</w:t>
      </w:r>
    </w:p>
    <w:p w14:paraId="75FAE834" w14:textId="64FE9826"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t>
      </w:r>
      <w:r w:rsidR="009A0942">
        <w:rPr>
          <w:rFonts w:ascii="Arial" w:hAnsi="Arial" w:cs="Arial"/>
          <w:bCs/>
          <w:lang w:val="en-US"/>
        </w:rPr>
        <w:t>objective</w:t>
      </w:r>
      <w:r w:rsidRPr="001E7675">
        <w:rPr>
          <w:rFonts w:ascii="Arial" w:hAnsi="Arial" w:cs="Arial"/>
          <w:bCs/>
          <w:lang w:val="en-US"/>
        </w:rPr>
        <w:t xml:space="preserve">. </w:t>
      </w:r>
      <w:proofErr w:type="gramStart"/>
      <w:r w:rsidRPr="001E7675">
        <w:rPr>
          <w:rFonts w:ascii="Arial" w:hAnsi="Arial" w:cs="Arial"/>
          <w:bCs/>
          <w:lang w:val="en-US"/>
        </w:rPr>
        <w:t>In particular, we</w:t>
      </w:r>
      <w:proofErr w:type="gramEnd"/>
      <w:r w:rsidRPr="001E7675">
        <w:rPr>
          <w:rFonts w:ascii="Arial" w:hAnsi="Arial" w:cs="Arial"/>
          <w:bCs/>
          <w:lang w:val="en-US"/>
        </w:rPr>
        <w:t xml:space="preserve"> discuss Initial beam selection, beam failure detection and recovery and SCI reporting.</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4" w:name="_Ref178064866"/>
      <w:r>
        <w:t>2</w:t>
      </w:r>
      <w:r>
        <w:tab/>
      </w:r>
      <w:r w:rsidR="004000E8" w:rsidRPr="00CE0424">
        <w:t>Discussion</w:t>
      </w:r>
      <w:bookmarkEnd w:id="4"/>
    </w:p>
    <w:p w14:paraId="2AA8E75D" w14:textId="747B0295"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FD3FEA">
        <w:rPr>
          <w:rFonts w:asciiTheme="minorEastAsia" w:eastAsiaTheme="minorEastAsia" w:hAnsiTheme="minorEastAsia"/>
          <w:lang w:eastAsia="zh-CN"/>
        </w:rPr>
        <w:t>1</w:t>
      </w:r>
      <w:r>
        <w:rPr>
          <w:rFonts w:eastAsia="Times New Roman"/>
        </w:rPr>
        <w:t xml:space="preserve"> </w:t>
      </w:r>
      <w:r w:rsidR="00CC76A0">
        <w:rPr>
          <w:rFonts w:eastAsia="Times New Roman"/>
        </w:rPr>
        <w:t>Beam failure detection and recovery</w:t>
      </w:r>
    </w:p>
    <w:p w14:paraId="25FAB029" w14:textId="4FED29D5" w:rsidR="003675CC" w:rsidRPr="003675CC" w:rsidRDefault="003675CC" w:rsidP="003675CC">
      <w:pPr>
        <w:pStyle w:val="Doc-text2"/>
        <w:ind w:left="0" w:firstLine="0"/>
        <w:rPr>
          <w:lang w:val="en-US"/>
        </w:rPr>
      </w:pPr>
      <w:r>
        <w:rPr>
          <w:lang w:val="en-US"/>
        </w:rPr>
        <w:t>RAN2 has made the below agreement regarding beam failure detection in RAN2#</w:t>
      </w:r>
      <w:proofErr w:type="gramStart"/>
      <w:r>
        <w:rPr>
          <w:lang w:val="en-US"/>
        </w:rPr>
        <w:t>112bis</w:t>
      </w:r>
      <w:proofErr w:type="gramEnd"/>
    </w:p>
    <w:p w14:paraId="1D44DD0E" w14:textId="77777777" w:rsidR="003675CC" w:rsidRPr="00A2047E" w:rsidRDefault="003675CC" w:rsidP="003675C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75E1127D" w14:textId="77777777" w:rsidR="003675CC" w:rsidRDefault="003675CC" w:rsidP="003675C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568F2C49" w14:textId="25C1D44E" w:rsidR="003675CC" w:rsidRDefault="003675CC" w:rsidP="003675CC">
      <w:pPr>
        <w:pStyle w:val="Doc-text2"/>
        <w:ind w:left="0" w:firstLine="0"/>
        <w:rPr>
          <w:rFonts w:eastAsia="SimSun"/>
          <w:lang w:val="en-US" w:eastAsia="zh-CN"/>
        </w:rPr>
      </w:pPr>
      <w:r>
        <w:rPr>
          <w:rFonts w:eastAsia="SimSun"/>
          <w:lang w:val="en-US" w:eastAsia="zh-CN"/>
        </w:rPr>
        <w:t xml:space="preserve">For either TX or RX UE based manner, it is reasonable to reuse the same </w:t>
      </w:r>
      <w:proofErr w:type="spellStart"/>
      <w:r>
        <w:rPr>
          <w:rFonts w:eastAsia="SimSun"/>
          <w:lang w:val="en-US" w:eastAsia="zh-CN"/>
        </w:rPr>
        <w:t>Uu</w:t>
      </w:r>
      <w:proofErr w:type="spellEnd"/>
      <w:r>
        <w:rPr>
          <w:rFonts w:eastAsia="SimSun"/>
          <w:lang w:val="en-US" w:eastAsia="zh-CN"/>
        </w:rPr>
        <w:t xml:space="preserve"> framework, i.e., RX UE based manner. TX based manner would require the TX UE to transmit data, which is too restrictive. UE needs to monitor beam quality in a periodical fashion even when there is no data transmission on-going. In such case, RX UE based manner makes more sense.</w:t>
      </w:r>
    </w:p>
    <w:p w14:paraId="4D3568AA" w14:textId="5233707F" w:rsidR="003675CC" w:rsidRDefault="003675CC" w:rsidP="003675CC">
      <w:pPr>
        <w:pStyle w:val="Proposal"/>
        <w:rPr>
          <w:rFonts w:cs="Arial"/>
        </w:rPr>
      </w:pPr>
      <w:bookmarkStart w:id="5" w:name="_Toc146787205"/>
      <w:r>
        <w:rPr>
          <w:rFonts w:cs="Arial"/>
        </w:rPr>
        <w:t>Beam failure detection is performed in RX UE based manner.</w:t>
      </w:r>
      <w:bookmarkEnd w:id="5"/>
    </w:p>
    <w:p w14:paraId="31AA4671" w14:textId="37BF5A6B" w:rsidR="003675CC" w:rsidRDefault="00340BE5" w:rsidP="003675CC">
      <w:pPr>
        <w:pStyle w:val="Doc-text2"/>
        <w:ind w:left="0" w:firstLine="0"/>
        <w:rPr>
          <w:rFonts w:eastAsia="SimSun"/>
          <w:lang w:val="en-US" w:eastAsia="zh-CN"/>
        </w:rPr>
      </w:pPr>
      <w:r>
        <w:rPr>
          <w:rFonts w:eastAsia="SimSun"/>
          <w:lang w:val="en-US" w:eastAsia="zh-CN"/>
        </w:rPr>
        <w:t xml:space="preserve">In Rel-16, TX UE sends </w:t>
      </w:r>
      <w:proofErr w:type="spellStart"/>
      <w:r>
        <w:rPr>
          <w:rFonts w:eastAsia="SimSun"/>
          <w:lang w:val="en-US" w:eastAsia="zh-CN"/>
        </w:rPr>
        <w:t>RRCReconfigurationSidelink</w:t>
      </w:r>
      <w:proofErr w:type="spellEnd"/>
      <w:r>
        <w:rPr>
          <w:rFonts w:eastAsia="SimSun"/>
          <w:lang w:val="en-US" w:eastAsia="zh-CN"/>
        </w:rPr>
        <w:t xml:space="preserve"> to RX UE for configuring radio bear</w:t>
      </w:r>
      <w:r w:rsidR="006522CF">
        <w:rPr>
          <w:rFonts w:eastAsia="SimSun"/>
          <w:lang w:val="en-US" w:eastAsia="zh-CN"/>
        </w:rPr>
        <w:t>er</w:t>
      </w:r>
      <w:r>
        <w:rPr>
          <w:rFonts w:eastAsia="SimSun"/>
          <w:lang w:val="en-US" w:eastAsia="zh-CN"/>
        </w:rPr>
        <w:t xml:space="preserve"> and CSI-RS related configurations.</w:t>
      </w:r>
    </w:p>
    <w:p w14:paraId="1005C622" w14:textId="77777777" w:rsidR="00340BE5" w:rsidRPr="00340BE5" w:rsidRDefault="00340BE5" w:rsidP="00340BE5">
      <w:pPr>
        <w:pStyle w:val="PL"/>
        <w:rPr>
          <w:sz w:val="14"/>
          <w:szCs w:val="18"/>
        </w:rPr>
      </w:pPr>
      <w:r w:rsidRPr="00340BE5">
        <w:rPr>
          <w:sz w:val="14"/>
          <w:szCs w:val="18"/>
        </w:rPr>
        <w:t xml:space="preserve">RRCReconfigurationSidelink-r16-IEs ::=  </w:t>
      </w:r>
      <w:r w:rsidRPr="00340BE5">
        <w:rPr>
          <w:color w:val="993366"/>
          <w:sz w:val="14"/>
          <w:szCs w:val="18"/>
        </w:rPr>
        <w:t>SEQUENCE</w:t>
      </w:r>
      <w:r w:rsidRPr="00340BE5">
        <w:rPr>
          <w:sz w:val="14"/>
          <w:szCs w:val="18"/>
        </w:rPr>
        <w:t xml:space="preserve"> {</w:t>
      </w:r>
    </w:p>
    <w:p w14:paraId="488EC6B7" w14:textId="77777777" w:rsidR="00340BE5" w:rsidRPr="00340BE5" w:rsidRDefault="00340BE5" w:rsidP="00340BE5">
      <w:pPr>
        <w:pStyle w:val="PL"/>
        <w:rPr>
          <w:color w:val="808080"/>
          <w:sz w:val="14"/>
          <w:szCs w:val="18"/>
        </w:rPr>
      </w:pPr>
      <w:r w:rsidRPr="00340BE5">
        <w:rPr>
          <w:sz w:val="14"/>
          <w:szCs w:val="18"/>
        </w:rPr>
        <w:t xml:space="preserve">    slrb-ConfigToAddModList-r16             </w:t>
      </w:r>
      <w:r w:rsidRPr="00340BE5">
        <w:rPr>
          <w:color w:val="993366"/>
          <w:sz w:val="14"/>
          <w:szCs w:val="18"/>
        </w:rPr>
        <w:t>SEQUENCE</w:t>
      </w:r>
      <w:r w:rsidRPr="00340BE5">
        <w:rPr>
          <w:sz w:val="14"/>
          <w:szCs w:val="18"/>
        </w:rPr>
        <w:t xml:space="preserve"> (</w:t>
      </w:r>
      <w:r w:rsidRPr="00340BE5">
        <w:rPr>
          <w:color w:val="993366"/>
          <w:sz w:val="14"/>
          <w:szCs w:val="18"/>
        </w:rPr>
        <w:t>SIZE</w:t>
      </w:r>
      <w:r w:rsidRPr="00340BE5">
        <w:rPr>
          <w:sz w:val="14"/>
          <w:szCs w:val="18"/>
        </w:rPr>
        <w:t xml:space="preserve"> (1..maxNrofSLRB-r16))</w:t>
      </w:r>
      <w:r w:rsidRPr="00340BE5">
        <w:rPr>
          <w:color w:val="993366"/>
          <w:sz w:val="14"/>
          <w:szCs w:val="18"/>
        </w:rPr>
        <w:t xml:space="preserve"> OF</w:t>
      </w:r>
      <w:r w:rsidRPr="00340BE5">
        <w:rPr>
          <w:sz w:val="14"/>
          <w:szCs w:val="18"/>
        </w:rPr>
        <w:t xml:space="preserve"> SLRB-Config-r16             </w:t>
      </w:r>
      <w:r w:rsidRPr="00340BE5">
        <w:rPr>
          <w:color w:val="993366"/>
          <w:sz w:val="14"/>
          <w:szCs w:val="18"/>
        </w:rPr>
        <w:t>OPTIONAL</w:t>
      </w:r>
      <w:r w:rsidRPr="00340BE5">
        <w:rPr>
          <w:sz w:val="14"/>
          <w:szCs w:val="18"/>
        </w:rPr>
        <w:t xml:space="preserve">, </w:t>
      </w:r>
      <w:r w:rsidRPr="00340BE5">
        <w:rPr>
          <w:color w:val="808080"/>
          <w:sz w:val="14"/>
          <w:szCs w:val="18"/>
        </w:rPr>
        <w:t>-- Need N</w:t>
      </w:r>
    </w:p>
    <w:p w14:paraId="286A3572" w14:textId="77777777" w:rsidR="00340BE5" w:rsidRPr="00340BE5" w:rsidRDefault="00340BE5" w:rsidP="00340BE5">
      <w:pPr>
        <w:pStyle w:val="PL"/>
        <w:rPr>
          <w:color w:val="808080"/>
          <w:sz w:val="14"/>
          <w:szCs w:val="18"/>
        </w:rPr>
      </w:pPr>
      <w:r w:rsidRPr="00340BE5">
        <w:rPr>
          <w:sz w:val="14"/>
          <w:szCs w:val="18"/>
        </w:rPr>
        <w:t xml:space="preserve">    slrb-ConfigToReleaseList-r16            </w:t>
      </w:r>
      <w:r w:rsidRPr="00340BE5">
        <w:rPr>
          <w:color w:val="993366"/>
          <w:sz w:val="14"/>
          <w:szCs w:val="18"/>
        </w:rPr>
        <w:t>SEQUENCE</w:t>
      </w:r>
      <w:r w:rsidRPr="00340BE5">
        <w:rPr>
          <w:sz w:val="14"/>
          <w:szCs w:val="18"/>
        </w:rPr>
        <w:t xml:space="preserve"> (</w:t>
      </w:r>
      <w:r w:rsidRPr="00340BE5">
        <w:rPr>
          <w:color w:val="993366"/>
          <w:sz w:val="14"/>
          <w:szCs w:val="18"/>
        </w:rPr>
        <w:t>SIZE</w:t>
      </w:r>
      <w:r w:rsidRPr="00340BE5">
        <w:rPr>
          <w:sz w:val="14"/>
          <w:szCs w:val="18"/>
        </w:rPr>
        <w:t xml:space="preserve"> (1..maxNrofSLRB-r16))</w:t>
      </w:r>
      <w:r w:rsidRPr="00340BE5">
        <w:rPr>
          <w:color w:val="993366"/>
          <w:sz w:val="14"/>
          <w:szCs w:val="18"/>
        </w:rPr>
        <w:t xml:space="preserve"> OF</w:t>
      </w:r>
      <w:r w:rsidRPr="00340BE5">
        <w:rPr>
          <w:sz w:val="14"/>
          <w:szCs w:val="18"/>
        </w:rPr>
        <w:t xml:space="preserve"> SLRB-PC5-ConfigIndex-r16    </w:t>
      </w:r>
      <w:r w:rsidRPr="00340BE5">
        <w:rPr>
          <w:color w:val="993366"/>
          <w:sz w:val="14"/>
          <w:szCs w:val="18"/>
        </w:rPr>
        <w:t>OPTIONAL</w:t>
      </w:r>
      <w:r w:rsidRPr="00340BE5">
        <w:rPr>
          <w:sz w:val="14"/>
          <w:szCs w:val="18"/>
        </w:rPr>
        <w:t xml:space="preserve">, </w:t>
      </w:r>
      <w:r w:rsidRPr="00340BE5">
        <w:rPr>
          <w:color w:val="808080"/>
          <w:sz w:val="14"/>
          <w:szCs w:val="18"/>
        </w:rPr>
        <w:t>-- Need N</w:t>
      </w:r>
    </w:p>
    <w:p w14:paraId="0D911D86" w14:textId="77777777" w:rsidR="00340BE5" w:rsidRPr="00340BE5" w:rsidRDefault="00340BE5" w:rsidP="00340BE5">
      <w:pPr>
        <w:pStyle w:val="PL"/>
        <w:rPr>
          <w:color w:val="808080"/>
          <w:sz w:val="14"/>
          <w:szCs w:val="18"/>
        </w:rPr>
      </w:pPr>
      <w:r w:rsidRPr="00340BE5">
        <w:rPr>
          <w:sz w:val="14"/>
          <w:szCs w:val="18"/>
        </w:rPr>
        <w:lastRenderedPageBreak/>
        <w:t xml:space="preserve">    sl-MeasConfig-r16                       SetupRelease {SL-MeasConfig-r16}                                    </w:t>
      </w:r>
      <w:r w:rsidRPr="00340BE5">
        <w:rPr>
          <w:color w:val="993366"/>
          <w:sz w:val="14"/>
          <w:szCs w:val="18"/>
        </w:rPr>
        <w:t>OPTIONAL</w:t>
      </w:r>
      <w:r w:rsidRPr="00340BE5">
        <w:rPr>
          <w:sz w:val="14"/>
          <w:szCs w:val="18"/>
        </w:rPr>
        <w:t xml:space="preserve">, </w:t>
      </w:r>
      <w:r w:rsidRPr="00340BE5">
        <w:rPr>
          <w:color w:val="808080"/>
          <w:sz w:val="14"/>
          <w:szCs w:val="18"/>
        </w:rPr>
        <w:t>-- Need M</w:t>
      </w:r>
    </w:p>
    <w:p w14:paraId="13265F9F" w14:textId="77777777" w:rsidR="00340BE5" w:rsidRPr="00340BE5" w:rsidRDefault="00340BE5" w:rsidP="00340BE5">
      <w:pPr>
        <w:pStyle w:val="PL"/>
        <w:rPr>
          <w:rFonts w:eastAsia="DengXian"/>
          <w:color w:val="808080"/>
          <w:sz w:val="14"/>
          <w:szCs w:val="18"/>
        </w:rPr>
      </w:pPr>
      <w:r w:rsidRPr="00340BE5">
        <w:rPr>
          <w:sz w:val="14"/>
          <w:szCs w:val="18"/>
        </w:rPr>
        <w:t xml:space="preserve">    </w:t>
      </w:r>
      <w:r w:rsidRPr="00340BE5">
        <w:rPr>
          <w:rFonts w:eastAsia="DengXian"/>
          <w:sz w:val="14"/>
          <w:szCs w:val="18"/>
        </w:rPr>
        <w:t>sl-CSI</w:t>
      </w:r>
      <w:r w:rsidRPr="00340BE5">
        <w:rPr>
          <w:sz w:val="14"/>
          <w:szCs w:val="18"/>
        </w:rPr>
        <w:t>-RS</w:t>
      </w:r>
      <w:r w:rsidRPr="00340BE5">
        <w:rPr>
          <w:rFonts w:eastAsia="DengXian"/>
          <w:sz w:val="14"/>
          <w:szCs w:val="18"/>
        </w:rPr>
        <w:t>-Config-r16</w:t>
      </w:r>
      <w:r w:rsidRPr="00340BE5">
        <w:rPr>
          <w:sz w:val="14"/>
          <w:szCs w:val="18"/>
        </w:rPr>
        <w:t xml:space="preserve">                    SetupRelease {</w:t>
      </w:r>
      <w:r w:rsidRPr="00340BE5">
        <w:rPr>
          <w:rFonts w:eastAsia="DengXian"/>
          <w:sz w:val="14"/>
          <w:szCs w:val="18"/>
        </w:rPr>
        <w:t>SL-CSI</w:t>
      </w:r>
      <w:r w:rsidRPr="00340BE5">
        <w:rPr>
          <w:sz w:val="14"/>
          <w:szCs w:val="18"/>
        </w:rPr>
        <w:t>-RS</w:t>
      </w:r>
      <w:r w:rsidRPr="00340BE5">
        <w:rPr>
          <w:rFonts w:eastAsia="DengXian"/>
          <w:sz w:val="14"/>
          <w:szCs w:val="18"/>
        </w:rPr>
        <w:t>-Config-r16}</w:t>
      </w:r>
      <w:r w:rsidRPr="00340BE5">
        <w:rPr>
          <w:sz w:val="14"/>
          <w:szCs w:val="18"/>
        </w:rPr>
        <w:t xml:space="preserve">                                 </w:t>
      </w:r>
      <w:r w:rsidRPr="00340BE5">
        <w:rPr>
          <w:rFonts w:eastAsia="DengXian"/>
          <w:color w:val="993366"/>
          <w:sz w:val="14"/>
          <w:szCs w:val="18"/>
        </w:rPr>
        <w:t>OPTIONAL</w:t>
      </w:r>
      <w:r w:rsidRPr="00340BE5">
        <w:rPr>
          <w:rFonts w:eastAsia="DengXian"/>
          <w:sz w:val="14"/>
          <w:szCs w:val="18"/>
        </w:rPr>
        <w:t>,</w:t>
      </w:r>
      <w:r w:rsidRPr="00340BE5">
        <w:rPr>
          <w:sz w:val="14"/>
          <w:szCs w:val="18"/>
        </w:rPr>
        <w:t xml:space="preserve"> </w:t>
      </w:r>
      <w:r w:rsidRPr="00340BE5">
        <w:rPr>
          <w:color w:val="808080"/>
          <w:sz w:val="14"/>
          <w:szCs w:val="18"/>
        </w:rPr>
        <w:t>-- Need M</w:t>
      </w:r>
    </w:p>
    <w:p w14:paraId="422F043E" w14:textId="77777777" w:rsidR="00340BE5" w:rsidRPr="00340BE5" w:rsidRDefault="00340BE5" w:rsidP="00340BE5">
      <w:pPr>
        <w:pStyle w:val="PL"/>
        <w:rPr>
          <w:color w:val="808080"/>
          <w:sz w:val="14"/>
          <w:szCs w:val="18"/>
        </w:rPr>
      </w:pPr>
      <w:r w:rsidRPr="00340BE5">
        <w:rPr>
          <w:sz w:val="14"/>
          <w:szCs w:val="18"/>
        </w:rPr>
        <w:t xml:space="preserve">    sl-ResetConfig-r16                      </w:t>
      </w:r>
      <w:r w:rsidRPr="00340BE5">
        <w:rPr>
          <w:color w:val="993366"/>
          <w:sz w:val="14"/>
          <w:szCs w:val="18"/>
        </w:rPr>
        <w:t>ENUMERATED</w:t>
      </w:r>
      <w:r w:rsidRPr="00340BE5">
        <w:rPr>
          <w:sz w:val="14"/>
          <w:szCs w:val="18"/>
        </w:rPr>
        <w:t xml:space="preserve"> {true}                                                   </w:t>
      </w:r>
      <w:r w:rsidRPr="00340BE5">
        <w:rPr>
          <w:color w:val="993366"/>
          <w:sz w:val="14"/>
          <w:szCs w:val="18"/>
        </w:rPr>
        <w:t>OPTIONAL</w:t>
      </w:r>
      <w:r w:rsidRPr="00340BE5">
        <w:rPr>
          <w:sz w:val="14"/>
          <w:szCs w:val="18"/>
        </w:rPr>
        <w:t xml:space="preserve">, </w:t>
      </w:r>
      <w:r w:rsidRPr="00340BE5">
        <w:rPr>
          <w:color w:val="808080"/>
          <w:sz w:val="14"/>
          <w:szCs w:val="18"/>
        </w:rPr>
        <w:t>-- Need N</w:t>
      </w:r>
    </w:p>
    <w:p w14:paraId="20C2A22E" w14:textId="77777777" w:rsidR="00340BE5" w:rsidRPr="00340BE5" w:rsidRDefault="00340BE5" w:rsidP="00340BE5">
      <w:pPr>
        <w:pStyle w:val="PL"/>
        <w:rPr>
          <w:color w:val="808080"/>
          <w:sz w:val="14"/>
          <w:szCs w:val="18"/>
        </w:rPr>
      </w:pPr>
      <w:r w:rsidRPr="00340BE5">
        <w:rPr>
          <w:sz w:val="14"/>
          <w:szCs w:val="18"/>
        </w:rPr>
        <w:t xml:space="preserve">    sl-LatencyBoundCSI-Report-r16           </w:t>
      </w:r>
      <w:r w:rsidRPr="00340BE5">
        <w:rPr>
          <w:color w:val="993366"/>
          <w:sz w:val="14"/>
          <w:szCs w:val="18"/>
        </w:rPr>
        <w:t>INTEGER</w:t>
      </w:r>
      <w:r w:rsidRPr="00340BE5">
        <w:rPr>
          <w:sz w:val="14"/>
          <w:szCs w:val="18"/>
        </w:rPr>
        <w:t xml:space="preserve"> (3..160)                                                    </w:t>
      </w:r>
      <w:r w:rsidRPr="00340BE5">
        <w:rPr>
          <w:color w:val="993366"/>
          <w:sz w:val="14"/>
          <w:szCs w:val="18"/>
        </w:rPr>
        <w:t>OPTIONAL</w:t>
      </w:r>
      <w:r w:rsidRPr="00340BE5">
        <w:rPr>
          <w:sz w:val="14"/>
          <w:szCs w:val="18"/>
        </w:rPr>
        <w:t xml:space="preserve">, </w:t>
      </w:r>
      <w:r w:rsidRPr="00340BE5">
        <w:rPr>
          <w:color w:val="808080"/>
          <w:sz w:val="14"/>
          <w:szCs w:val="18"/>
        </w:rPr>
        <w:t>-- Need M</w:t>
      </w:r>
    </w:p>
    <w:p w14:paraId="65D48883" w14:textId="77777777" w:rsidR="00340BE5" w:rsidRPr="00340BE5" w:rsidRDefault="00340BE5" w:rsidP="00340BE5">
      <w:pPr>
        <w:pStyle w:val="PL"/>
        <w:rPr>
          <w:sz w:val="14"/>
          <w:szCs w:val="18"/>
        </w:rPr>
      </w:pPr>
      <w:r w:rsidRPr="00340BE5">
        <w:rPr>
          <w:sz w:val="14"/>
          <w:szCs w:val="18"/>
        </w:rPr>
        <w:t xml:space="preserve">    lateNonCriticalExtension                </w:t>
      </w:r>
      <w:r w:rsidRPr="00340BE5">
        <w:rPr>
          <w:color w:val="993366"/>
          <w:sz w:val="14"/>
          <w:szCs w:val="18"/>
        </w:rPr>
        <w:t>OCTET</w:t>
      </w:r>
      <w:r w:rsidRPr="00340BE5">
        <w:rPr>
          <w:sz w:val="14"/>
          <w:szCs w:val="18"/>
        </w:rPr>
        <w:t xml:space="preserve"> </w:t>
      </w:r>
      <w:r w:rsidRPr="00340BE5">
        <w:rPr>
          <w:color w:val="993366"/>
          <w:sz w:val="14"/>
          <w:szCs w:val="18"/>
        </w:rPr>
        <w:t>STRING</w:t>
      </w:r>
      <w:r w:rsidRPr="00340BE5">
        <w:rPr>
          <w:sz w:val="14"/>
          <w:szCs w:val="18"/>
        </w:rPr>
        <w:t xml:space="preserve">                                                        </w:t>
      </w:r>
      <w:r w:rsidRPr="00340BE5">
        <w:rPr>
          <w:color w:val="993366"/>
          <w:sz w:val="14"/>
          <w:szCs w:val="18"/>
        </w:rPr>
        <w:t>OPTIONAL</w:t>
      </w:r>
      <w:r w:rsidRPr="00340BE5">
        <w:rPr>
          <w:sz w:val="14"/>
          <w:szCs w:val="18"/>
        </w:rPr>
        <w:t>,</w:t>
      </w:r>
    </w:p>
    <w:p w14:paraId="25860692" w14:textId="77777777" w:rsidR="00340BE5" w:rsidRPr="00340BE5" w:rsidRDefault="00340BE5" w:rsidP="00340BE5">
      <w:pPr>
        <w:pStyle w:val="PL"/>
        <w:rPr>
          <w:sz w:val="14"/>
          <w:szCs w:val="18"/>
        </w:rPr>
      </w:pPr>
      <w:r w:rsidRPr="00340BE5">
        <w:rPr>
          <w:sz w:val="14"/>
          <w:szCs w:val="18"/>
        </w:rPr>
        <w:t xml:space="preserve">    nonCriticalExtension                    RRCReconfigurationSidelink-v1700-IEs                                </w:t>
      </w:r>
      <w:r w:rsidRPr="00340BE5">
        <w:rPr>
          <w:color w:val="993366"/>
          <w:sz w:val="14"/>
          <w:szCs w:val="18"/>
        </w:rPr>
        <w:t>OPTIONAL</w:t>
      </w:r>
    </w:p>
    <w:p w14:paraId="21B6E7FB" w14:textId="77777777" w:rsidR="00340BE5" w:rsidRPr="00340BE5" w:rsidRDefault="00340BE5" w:rsidP="00340BE5">
      <w:pPr>
        <w:pStyle w:val="PL"/>
        <w:rPr>
          <w:sz w:val="14"/>
          <w:szCs w:val="18"/>
        </w:rPr>
      </w:pPr>
      <w:r w:rsidRPr="00340BE5">
        <w:rPr>
          <w:sz w:val="14"/>
          <w:szCs w:val="18"/>
        </w:rPr>
        <w:t>}</w:t>
      </w:r>
    </w:p>
    <w:p w14:paraId="2D0223D4" w14:textId="77777777" w:rsidR="00340BE5" w:rsidRPr="003675CC" w:rsidRDefault="00340BE5" w:rsidP="003675CC">
      <w:pPr>
        <w:pStyle w:val="Doc-text2"/>
        <w:ind w:left="0" w:firstLine="0"/>
        <w:rPr>
          <w:rFonts w:eastAsia="SimSun"/>
          <w:lang w:val="en-US" w:eastAsia="zh-CN"/>
        </w:rPr>
      </w:pPr>
    </w:p>
    <w:p w14:paraId="527D7915" w14:textId="5019A288" w:rsidR="00E1674E" w:rsidRDefault="00340BE5" w:rsidP="00340BE5">
      <w:pPr>
        <w:rPr>
          <w:rFonts w:ascii="Arial" w:hAnsi="Arial" w:cs="Arial"/>
        </w:rPr>
      </w:pPr>
      <w:r w:rsidRPr="00317408">
        <w:rPr>
          <w:rFonts w:ascii="Arial" w:hAnsi="Arial" w:cs="Arial"/>
        </w:rPr>
        <w:t xml:space="preserve">For beam management purpose, it is reasonable to use CSI-RS measurement and reporting based framework. </w:t>
      </w:r>
      <w:r w:rsidR="00E1674E" w:rsidRPr="00317408">
        <w:rPr>
          <w:rFonts w:ascii="Arial" w:hAnsi="Arial" w:cs="Arial"/>
        </w:rPr>
        <w:t xml:space="preserve">In the existing releases, SL radio bearer is directional. </w:t>
      </w:r>
      <w:r w:rsidR="00E57917">
        <w:rPr>
          <w:rFonts w:ascii="Arial" w:hAnsi="Arial" w:cs="Arial"/>
        </w:rPr>
        <w:t>F</w:t>
      </w:r>
      <w:r w:rsidR="00E57917" w:rsidRPr="00317408">
        <w:rPr>
          <w:rFonts w:ascii="Arial" w:hAnsi="Arial" w:cs="Arial"/>
        </w:rPr>
        <w:t xml:space="preserve">or </w:t>
      </w:r>
      <w:r w:rsidR="00E1674E" w:rsidRPr="00317408">
        <w:rPr>
          <w:rFonts w:ascii="Arial" w:hAnsi="Arial" w:cs="Arial"/>
        </w:rPr>
        <w:t xml:space="preserve">a UE pair, each UE establishes its own RB towards the peer UE on each direction. It is natural to </w:t>
      </w:r>
      <w:r w:rsidR="00277717">
        <w:rPr>
          <w:rFonts w:ascii="Arial" w:hAnsi="Arial" w:cs="Arial"/>
        </w:rPr>
        <w:t>define</w:t>
      </w:r>
      <w:r w:rsidR="00E1674E" w:rsidRPr="00317408">
        <w:rPr>
          <w:rFonts w:ascii="Arial" w:hAnsi="Arial" w:cs="Arial"/>
        </w:rPr>
        <w:t xml:space="preserve"> BFD and BFR is operated in a directional fashion. In other words, each UE operates its TX beam </w:t>
      </w:r>
      <w:r w:rsidR="00505DCD">
        <w:rPr>
          <w:rFonts w:ascii="Arial" w:hAnsi="Arial" w:cs="Arial"/>
        </w:rPr>
        <w:t>independently</w:t>
      </w:r>
      <w:r w:rsidR="00E1674E" w:rsidRPr="00317408">
        <w:rPr>
          <w:rFonts w:ascii="Arial" w:hAnsi="Arial" w:cs="Arial"/>
        </w:rPr>
        <w:t xml:space="preserve">. </w:t>
      </w:r>
    </w:p>
    <w:p w14:paraId="6E3BCDBE" w14:textId="5D67CE36" w:rsidR="00F511A2" w:rsidRPr="00317408" w:rsidRDefault="00F511A2" w:rsidP="00317408">
      <w:pPr>
        <w:rPr>
          <w:rFonts w:ascii="Arial" w:hAnsi="Arial" w:cs="Arial"/>
        </w:rPr>
      </w:pPr>
      <w:r>
        <w:rPr>
          <w:rFonts w:ascii="Arial" w:hAnsi="Arial" w:cs="Arial"/>
        </w:rPr>
        <w:t xml:space="preserve">For a UE pair including UE1 and UE2, for the direction from UE1 to UE2, UE2 performs </w:t>
      </w:r>
      <w:r w:rsidR="008E1C5C">
        <w:rPr>
          <w:rFonts w:ascii="Arial" w:hAnsi="Arial" w:cs="Arial"/>
        </w:rPr>
        <w:t>BFR</w:t>
      </w:r>
      <w:r>
        <w:rPr>
          <w:rFonts w:ascii="Arial" w:hAnsi="Arial" w:cs="Arial"/>
        </w:rPr>
        <w:t>. Based on the UE2</w:t>
      </w:r>
      <w:r w:rsidR="008E1C5C">
        <w:rPr>
          <w:rFonts w:ascii="Arial" w:hAnsi="Arial" w:cs="Arial"/>
        </w:rPr>
        <w:t xml:space="preserve">’s </w:t>
      </w:r>
      <w:r>
        <w:rPr>
          <w:rFonts w:ascii="Arial" w:hAnsi="Arial" w:cs="Arial"/>
        </w:rPr>
        <w:t xml:space="preserve">reporting message, </w:t>
      </w:r>
      <w:r w:rsidR="008E1C5C">
        <w:rPr>
          <w:rFonts w:ascii="Arial" w:hAnsi="Arial" w:cs="Arial"/>
        </w:rPr>
        <w:t>UE1 selects a proper TX beam towards UE2. For the direction from UE2 to UE1, UE1 performs BFR. Based on the UE1’s reporting message, UE2 selects a proper TX beam towards UE1.</w:t>
      </w:r>
      <w:r w:rsidR="00F17905">
        <w:rPr>
          <w:rFonts w:ascii="Arial" w:hAnsi="Arial" w:cs="Arial"/>
        </w:rPr>
        <w:t xml:space="preserve"> For both directions, UE1 or UE2 performs BFR procedure independently.</w:t>
      </w:r>
    </w:p>
    <w:p w14:paraId="2A18157C" w14:textId="149342EF" w:rsidR="00472FA3" w:rsidRPr="00472FA3" w:rsidRDefault="00572A19" w:rsidP="00472FA3">
      <w:r>
        <w:rPr>
          <w:rFonts w:ascii="Arial" w:hAnsi="Arial" w:cs="Arial"/>
        </w:rPr>
        <w:t>Therefore, we make the below proposal</w:t>
      </w:r>
      <w:r w:rsidR="00995D42">
        <w:rPr>
          <w:rFonts w:ascii="Arial" w:hAnsi="Arial" w:cs="Arial"/>
        </w:rPr>
        <w:t>:</w:t>
      </w:r>
    </w:p>
    <w:p w14:paraId="4DA840C4" w14:textId="07B10A9A" w:rsidR="00572A19" w:rsidRDefault="002C338B" w:rsidP="00572A19">
      <w:pPr>
        <w:pStyle w:val="Proposal"/>
        <w:rPr>
          <w:rFonts w:cs="Arial"/>
        </w:rPr>
      </w:pPr>
      <w:bookmarkStart w:id="6" w:name="_Toc146787206"/>
      <w:r>
        <w:rPr>
          <w:rFonts w:cs="Arial"/>
        </w:rPr>
        <w:t xml:space="preserve">For a UE pair, both </w:t>
      </w:r>
      <w:r w:rsidR="00E57917">
        <w:rPr>
          <w:rFonts w:cs="Arial"/>
        </w:rPr>
        <w:t xml:space="preserve">UEs </w:t>
      </w:r>
      <w:r>
        <w:rPr>
          <w:rFonts w:cs="Arial"/>
        </w:rPr>
        <w:t>perform beam failure detection and recovery procedure independently.</w:t>
      </w:r>
      <w:bookmarkEnd w:id="6"/>
    </w:p>
    <w:p w14:paraId="06C9CD16" w14:textId="243C98B8" w:rsidR="004F3517" w:rsidRDefault="004F3517" w:rsidP="004F3517">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gNB involvement</w:t>
      </w:r>
    </w:p>
    <w:p w14:paraId="384FA110" w14:textId="33C706E8" w:rsidR="00FD3FEA" w:rsidRDefault="00FD3FEA" w:rsidP="00472FA3">
      <w:pPr>
        <w:rPr>
          <w:rFonts w:ascii="Arial" w:hAnsi="Arial" w:cs="Arial"/>
        </w:rPr>
      </w:pPr>
      <w:r>
        <w:rPr>
          <w:rFonts w:ascii="Arial" w:hAnsi="Arial" w:cs="Arial"/>
        </w:rPr>
        <w:t xml:space="preserve">There is an issue on whether the gNB shall be involved in the procedure of beam management and beam failure recovery procedure. In </w:t>
      </w:r>
      <w:r w:rsidR="005D74EE">
        <w:rPr>
          <w:rFonts w:ascii="Arial" w:hAnsi="Arial" w:cs="Arial"/>
        </w:rPr>
        <w:t xml:space="preserve">case of Mode 1 RA operation, the UE sends SR and SL-BSR to the gNB for requesting SL grants. Based on the received SR and SL-BSRs, the gNB schedules a dynamic SL grant or a configured grant to the UE. After that, the UE selects the destination and the logical channels associated with the destination relying on the LCP procedure. In such way, the gNB may have no direct knowledge on the destination and the LCHs which the UE has selected for the SL data transmission using the SL grant. This achieves a good balance between the extent of the gNB control and the UE autonomous actions. </w:t>
      </w:r>
    </w:p>
    <w:p w14:paraId="6D26AD9C" w14:textId="534C2784" w:rsidR="005D74EE" w:rsidRDefault="005D74EE" w:rsidP="005D74EE">
      <w:pPr>
        <w:pStyle w:val="Observation"/>
        <w:rPr>
          <w:rFonts w:cs="Arial"/>
        </w:rPr>
      </w:pPr>
      <w:bookmarkStart w:id="7" w:name="_Toc146787195"/>
      <w:r>
        <w:rPr>
          <w:rFonts w:cs="Arial"/>
        </w:rPr>
        <w:t>In case of Mode 1 RA operation, the UE sends SR and SL-BSRs to the gNB for requesting SL grants. Thereafter, the gNB schedules dynamic SL grants or configured grants to the UE. After that, the UE selects the destination and the logical channels associated with the destination relying on the LCP procedure</w:t>
      </w:r>
      <w:r w:rsidRPr="00505B83">
        <w:rPr>
          <w:rFonts w:cs="Arial"/>
        </w:rPr>
        <w:t>.</w:t>
      </w:r>
      <w:bookmarkEnd w:id="7"/>
      <w:r w:rsidRPr="00505B83">
        <w:rPr>
          <w:rFonts w:cs="Arial"/>
        </w:rPr>
        <w:t xml:space="preserve"> </w:t>
      </w:r>
    </w:p>
    <w:p w14:paraId="2B94DF60" w14:textId="72BC7786" w:rsidR="005D74EE" w:rsidRPr="00505B83" w:rsidRDefault="005D74EE" w:rsidP="005D74EE">
      <w:pPr>
        <w:pStyle w:val="Observation"/>
        <w:rPr>
          <w:rFonts w:cs="Arial"/>
        </w:rPr>
      </w:pPr>
      <w:bookmarkStart w:id="8" w:name="_Toc146787196"/>
      <w:r>
        <w:rPr>
          <w:rFonts w:cs="Arial"/>
        </w:rPr>
        <w:t xml:space="preserve">the gNB may have no direct knowledge on the destination and the LCHs which the UE has selected for the SL data transmission using the SL </w:t>
      </w:r>
      <w:proofErr w:type="gramStart"/>
      <w:r>
        <w:rPr>
          <w:rFonts w:cs="Arial"/>
        </w:rPr>
        <w:t>grant</w:t>
      </w:r>
      <w:bookmarkEnd w:id="8"/>
      <w:proofErr w:type="gramEnd"/>
    </w:p>
    <w:p w14:paraId="4685C0AA" w14:textId="1E644C9F" w:rsidR="00DA33D7" w:rsidRDefault="005D74EE" w:rsidP="00472FA3">
      <w:pPr>
        <w:rPr>
          <w:rFonts w:ascii="Arial" w:hAnsi="Arial" w:cs="Arial"/>
          <w:iCs/>
        </w:rPr>
      </w:pPr>
      <w:r>
        <w:rPr>
          <w:rFonts w:ascii="Arial" w:hAnsi="Arial" w:cs="Arial"/>
        </w:rPr>
        <w:t xml:space="preserve">Regarding beam </w:t>
      </w:r>
      <w:r w:rsidRPr="005D74EE">
        <w:rPr>
          <w:rFonts w:ascii="Arial" w:hAnsi="Arial" w:cs="Arial"/>
          <w:iCs/>
        </w:rPr>
        <w:t>maintenance</w:t>
      </w:r>
      <w:r>
        <w:rPr>
          <w:rFonts w:ascii="Arial" w:hAnsi="Arial" w:cs="Arial"/>
          <w:iCs/>
        </w:rPr>
        <w:t xml:space="preserve"> and BFR procedure, it is sufficient to apply similar procedures as the existing Mode 1 RA operations.</w:t>
      </w:r>
      <w:r w:rsidR="003532CD">
        <w:rPr>
          <w:rFonts w:ascii="Arial" w:hAnsi="Arial" w:cs="Arial"/>
          <w:iCs/>
        </w:rPr>
        <w:t xml:space="preserve"> In other words, the UE doesn’t need to forward the received CSI reports from the peer UEs to the gNB. </w:t>
      </w:r>
      <w:r w:rsidR="00701FB5">
        <w:rPr>
          <w:rFonts w:ascii="Arial" w:hAnsi="Arial" w:cs="Arial"/>
          <w:iCs/>
        </w:rPr>
        <w:t xml:space="preserve">How to determine a proper TX beam or RX beam can be left for the UE’s decision. </w:t>
      </w:r>
      <w:r w:rsidR="003532CD">
        <w:rPr>
          <w:rFonts w:ascii="Arial" w:hAnsi="Arial" w:cs="Arial"/>
          <w:iCs/>
        </w:rPr>
        <w:t xml:space="preserve">This not only simplifies the gNB </w:t>
      </w:r>
      <w:r w:rsidR="00402DE2">
        <w:rPr>
          <w:rFonts w:ascii="Arial" w:hAnsi="Arial" w:cs="Arial"/>
          <w:iCs/>
        </w:rPr>
        <w:t>operational complexity in case of Mode 1 RA, but also avoid additional design complexity for RAN2.</w:t>
      </w:r>
    </w:p>
    <w:p w14:paraId="3D4A16D1" w14:textId="69A1BF0B" w:rsidR="00DA33D7" w:rsidRDefault="00701FB5" w:rsidP="00DA33D7">
      <w:pPr>
        <w:pStyle w:val="Proposal"/>
        <w:rPr>
          <w:rFonts w:cs="Arial"/>
        </w:rPr>
      </w:pPr>
      <w:bookmarkStart w:id="9" w:name="_Toc146787207"/>
      <w:r>
        <w:rPr>
          <w:rFonts w:cs="Arial"/>
        </w:rPr>
        <w:t>In case of Mode 1 RA operation,</w:t>
      </w:r>
      <w:r w:rsidR="00457FEE">
        <w:rPr>
          <w:rFonts w:cs="Arial"/>
        </w:rPr>
        <w:t xml:space="preserve"> </w:t>
      </w:r>
      <w:r w:rsidR="00B70641">
        <w:rPr>
          <w:rFonts w:cs="Arial"/>
        </w:rPr>
        <w:t>it is up to the UE’s decision on how to determine a TX beam</w:t>
      </w:r>
      <w:r w:rsidR="00DA33D7">
        <w:rPr>
          <w:rFonts w:cs="Arial"/>
        </w:rPr>
        <w:t>.</w:t>
      </w:r>
      <w:r w:rsidR="00457FEE">
        <w:rPr>
          <w:rFonts w:cs="Arial"/>
        </w:rPr>
        <w:t xml:space="preserve"> The UE doesn’t forward CSI report </w:t>
      </w:r>
      <w:r w:rsidR="007C35A0">
        <w:rPr>
          <w:rFonts w:cs="Arial"/>
        </w:rPr>
        <w:t xml:space="preserve">received </w:t>
      </w:r>
      <w:r w:rsidR="00457FEE">
        <w:rPr>
          <w:rFonts w:cs="Arial"/>
        </w:rPr>
        <w:t xml:space="preserve">from </w:t>
      </w:r>
      <w:r w:rsidR="00326460">
        <w:rPr>
          <w:rFonts w:cs="Arial"/>
        </w:rPr>
        <w:t xml:space="preserve">a </w:t>
      </w:r>
      <w:r w:rsidR="00457FEE">
        <w:rPr>
          <w:rFonts w:cs="Arial"/>
        </w:rPr>
        <w:t>peer UE to the gNB.</w:t>
      </w:r>
      <w:bookmarkEnd w:id="9"/>
    </w:p>
    <w:p w14:paraId="0CEE309B" w14:textId="230B1DDD" w:rsidR="00AC04FB" w:rsidRDefault="00457FEE" w:rsidP="00472FA3">
      <w:pPr>
        <w:rPr>
          <w:rFonts w:ascii="Arial" w:hAnsi="Arial" w:cs="Arial"/>
        </w:rPr>
      </w:pPr>
      <w:r>
        <w:rPr>
          <w:rFonts w:ascii="Arial" w:hAnsi="Arial" w:cs="Arial"/>
        </w:rPr>
        <w:t>Regarding BFR</w:t>
      </w:r>
      <w:r w:rsidR="00A04449">
        <w:rPr>
          <w:rFonts w:ascii="Arial" w:hAnsi="Arial" w:cs="Arial"/>
        </w:rPr>
        <w:t>, similarly, a RX UE doesn’t report a detected beam failure recovery event to the gNB. A TX UE doesn’t need to forward a received BFRQ message to the gNB either</w:t>
      </w:r>
      <w:r w:rsidR="00AC04FB">
        <w:rPr>
          <w:rFonts w:ascii="Arial" w:hAnsi="Arial" w:cs="Arial"/>
        </w:rPr>
        <w:t>.</w:t>
      </w:r>
      <w:r w:rsidR="00D804A8">
        <w:rPr>
          <w:rFonts w:ascii="Arial" w:hAnsi="Arial" w:cs="Arial"/>
        </w:rPr>
        <w:t xml:space="preserve"> This means that how to handle BFR is up to the UE pair.</w:t>
      </w:r>
    </w:p>
    <w:p w14:paraId="565690F1" w14:textId="27DF5981" w:rsidR="00935A31" w:rsidRDefault="00935A31" w:rsidP="00AC04FB">
      <w:pPr>
        <w:pStyle w:val="Proposal"/>
        <w:rPr>
          <w:rFonts w:cs="Arial"/>
        </w:rPr>
      </w:pPr>
      <w:bookmarkStart w:id="10" w:name="_Toc146787208"/>
      <w:r>
        <w:rPr>
          <w:rFonts w:cs="Arial"/>
        </w:rPr>
        <w:t>It is up to the UE pair</w:t>
      </w:r>
      <w:r w:rsidR="00C00886">
        <w:rPr>
          <w:rFonts w:cs="Arial"/>
        </w:rPr>
        <w:t xml:space="preserve"> (i.e., TX UE and RX UE)</w:t>
      </w:r>
      <w:r>
        <w:rPr>
          <w:rFonts w:cs="Arial"/>
        </w:rPr>
        <w:t xml:space="preserve"> on how to handle BFR events.</w:t>
      </w:r>
      <w:bookmarkEnd w:id="10"/>
    </w:p>
    <w:p w14:paraId="72167C2E" w14:textId="4DF86980" w:rsidR="00AC04FB" w:rsidRDefault="00A04449" w:rsidP="00AC04FB">
      <w:pPr>
        <w:pStyle w:val="Proposal"/>
        <w:rPr>
          <w:rFonts w:cs="Arial"/>
        </w:rPr>
      </w:pPr>
      <w:bookmarkStart w:id="11" w:name="_Toc146787209"/>
      <w:r>
        <w:rPr>
          <w:rFonts w:cs="Arial"/>
        </w:rPr>
        <w:t xml:space="preserve">A RX </w:t>
      </w:r>
      <w:r w:rsidR="00AC04FB">
        <w:rPr>
          <w:rFonts w:cs="Arial"/>
        </w:rPr>
        <w:t xml:space="preserve">UE doesn’t </w:t>
      </w:r>
      <w:r>
        <w:rPr>
          <w:rFonts w:cs="Arial"/>
        </w:rPr>
        <w:t xml:space="preserve">report detected </w:t>
      </w:r>
      <w:r w:rsidR="00C70C6C">
        <w:rPr>
          <w:rFonts w:cs="Arial"/>
        </w:rPr>
        <w:t>BFR</w:t>
      </w:r>
      <w:r>
        <w:rPr>
          <w:rFonts w:cs="Arial"/>
        </w:rPr>
        <w:t xml:space="preserve"> events to the gNB</w:t>
      </w:r>
      <w:r w:rsidR="00AC04FB">
        <w:rPr>
          <w:rFonts w:cs="Arial"/>
        </w:rPr>
        <w:t>.</w:t>
      </w:r>
      <w:bookmarkEnd w:id="11"/>
    </w:p>
    <w:p w14:paraId="050A5D89" w14:textId="027D0C1C" w:rsidR="00075F55" w:rsidRDefault="00075F55" w:rsidP="00AC04FB">
      <w:pPr>
        <w:pStyle w:val="Proposal"/>
        <w:rPr>
          <w:rFonts w:cs="Arial"/>
        </w:rPr>
      </w:pPr>
      <w:bookmarkStart w:id="12" w:name="_Toc146787210"/>
      <w:r>
        <w:rPr>
          <w:rFonts w:cs="Arial"/>
        </w:rPr>
        <w:t>A TX UE doesn’t forward a received BFRQ message to the gNB.</w:t>
      </w:r>
      <w:bookmarkEnd w:id="12"/>
    </w:p>
    <w:p w14:paraId="78FD126E" w14:textId="63A6D317" w:rsidR="00472FA3" w:rsidRPr="00003F3F" w:rsidRDefault="00472FA3" w:rsidP="00472FA3">
      <w:pPr>
        <w:rPr>
          <w:rFonts w:ascii="Arial" w:hAnsi="Arial" w:cs="Arial"/>
        </w:rPr>
      </w:pPr>
    </w:p>
    <w:p w14:paraId="6F0916BA" w14:textId="446D27C2" w:rsidR="008A4FEE" w:rsidRDefault="008A4FEE" w:rsidP="008A4FEE">
      <w:pPr>
        <w:pStyle w:val="Heading2"/>
        <w:rPr>
          <w:rFonts w:eastAsia="Times New Roman"/>
        </w:rPr>
      </w:pPr>
      <w:r>
        <w:rPr>
          <w:rFonts w:asciiTheme="minorEastAsia" w:eastAsiaTheme="minorEastAsia" w:hAnsiTheme="minorEastAsia" w:hint="eastAsia"/>
          <w:lang w:eastAsia="zh-CN"/>
        </w:rPr>
        <w:lastRenderedPageBreak/>
        <w:t>2.</w:t>
      </w:r>
      <w:r w:rsidR="00935A31">
        <w:rPr>
          <w:rFonts w:asciiTheme="minorEastAsia" w:eastAsiaTheme="minorEastAsia" w:hAnsiTheme="minorEastAsia"/>
          <w:lang w:eastAsia="zh-CN"/>
        </w:rPr>
        <w:t>4</w:t>
      </w:r>
      <w:r>
        <w:rPr>
          <w:rFonts w:eastAsia="Times New Roman"/>
        </w:rPr>
        <w:t xml:space="preserve"> </w:t>
      </w:r>
      <w:r w:rsidR="00CB5031">
        <w:rPr>
          <w:rFonts w:eastAsia="Times New Roman"/>
        </w:rPr>
        <w:t>In</w:t>
      </w:r>
      <w:r w:rsidR="0091038D">
        <w:rPr>
          <w:rFonts w:eastAsia="Times New Roman"/>
        </w:rPr>
        <w:t>teraction between BF and RLF</w:t>
      </w:r>
    </w:p>
    <w:p w14:paraId="6EC72FEE" w14:textId="77777777" w:rsidR="0091038D" w:rsidRPr="0091038D" w:rsidRDefault="0091038D" w:rsidP="0091038D">
      <w:pPr>
        <w:rPr>
          <w:rFonts w:ascii="Arial" w:hAnsi="Arial" w:cs="Arial"/>
        </w:rPr>
      </w:pPr>
      <w:r w:rsidRPr="0091038D">
        <w:rPr>
          <w:rFonts w:ascii="Arial" w:hAnsi="Arial" w:cs="Arial"/>
          <w:lang w:val="en-US"/>
        </w:rPr>
        <w:t xml:space="preserve">In the current release, SL RLF is declared for a PC5 connection if one of the below conditions is </w:t>
      </w:r>
      <w:proofErr w:type="gramStart"/>
      <w:r w:rsidRPr="0091038D">
        <w:rPr>
          <w:rFonts w:ascii="Arial" w:hAnsi="Arial" w:cs="Arial"/>
          <w:lang w:val="en-US"/>
        </w:rPr>
        <w:t>met</w:t>
      </w:r>
      <w:proofErr w:type="gramEnd"/>
    </w:p>
    <w:p w14:paraId="6A869E6A" w14:textId="77777777" w:rsidR="0091038D" w:rsidRPr="0091038D" w:rsidRDefault="0091038D" w:rsidP="0091038D">
      <w:pPr>
        <w:numPr>
          <w:ilvl w:val="0"/>
          <w:numId w:val="32"/>
        </w:numPr>
        <w:rPr>
          <w:rFonts w:ascii="Arial" w:hAnsi="Arial" w:cs="Arial"/>
        </w:rPr>
      </w:pPr>
      <w:r w:rsidRPr="0091038D">
        <w:rPr>
          <w:rFonts w:ascii="Arial" w:hAnsi="Arial" w:cs="Arial"/>
        </w:rPr>
        <w:t xml:space="preserve">upon indication from sidelink RLC entity that the maximum number of retransmissions for a specific destination has been </w:t>
      </w:r>
      <w:proofErr w:type="gramStart"/>
      <w:r w:rsidRPr="0091038D">
        <w:rPr>
          <w:rFonts w:ascii="Arial" w:hAnsi="Arial" w:cs="Arial"/>
        </w:rPr>
        <w:t>reached;</w:t>
      </w:r>
      <w:proofErr w:type="gramEnd"/>
      <w:r w:rsidRPr="0091038D">
        <w:rPr>
          <w:rFonts w:ascii="Arial" w:hAnsi="Arial" w:cs="Arial"/>
        </w:rPr>
        <w:t xml:space="preserve"> </w:t>
      </w:r>
    </w:p>
    <w:p w14:paraId="49784A82" w14:textId="77777777" w:rsidR="0091038D" w:rsidRPr="0091038D" w:rsidRDefault="0091038D" w:rsidP="0091038D">
      <w:pPr>
        <w:numPr>
          <w:ilvl w:val="0"/>
          <w:numId w:val="32"/>
        </w:numPr>
        <w:rPr>
          <w:rFonts w:ascii="Arial" w:hAnsi="Arial" w:cs="Arial"/>
        </w:rPr>
      </w:pPr>
      <w:r w:rsidRPr="0091038D">
        <w:rPr>
          <w:rFonts w:ascii="Arial" w:hAnsi="Arial" w:cs="Arial"/>
        </w:rPr>
        <w:t xml:space="preserve">upon T400 expiry for a specific </w:t>
      </w:r>
      <w:proofErr w:type="gramStart"/>
      <w:r w:rsidRPr="0091038D">
        <w:rPr>
          <w:rFonts w:ascii="Arial" w:hAnsi="Arial" w:cs="Arial"/>
        </w:rPr>
        <w:t>destination;</w:t>
      </w:r>
      <w:proofErr w:type="gramEnd"/>
      <w:r w:rsidRPr="0091038D">
        <w:rPr>
          <w:rFonts w:ascii="Arial" w:hAnsi="Arial" w:cs="Arial"/>
        </w:rPr>
        <w:t xml:space="preserve"> </w:t>
      </w:r>
    </w:p>
    <w:p w14:paraId="26CF3CB0" w14:textId="77777777" w:rsidR="0091038D" w:rsidRPr="0091038D" w:rsidRDefault="0091038D" w:rsidP="0091038D">
      <w:pPr>
        <w:numPr>
          <w:ilvl w:val="0"/>
          <w:numId w:val="32"/>
        </w:numPr>
        <w:rPr>
          <w:rFonts w:ascii="Arial" w:hAnsi="Arial" w:cs="Arial"/>
        </w:rPr>
      </w:pPr>
      <w:r w:rsidRPr="0091038D">
        <w:rPr>
          <w:rFonts w:ascii="Arial" w:hAnsi="Arial" w:cs="Arial"/>
        </w:rPr>
        <w:t xml:space="preserve">upon indication from MAC entity that the maximum number of consecutive HARQ DTX for a specific destination has been </w:t>
      </w:r>
      <w:proofErr w:type="gramStart"/>
      <w:r w:rsidRPr="0091038D">
        <w:rPr>
          <w:rFonts w:ascii="Arial" w:hAnsi="Arial" w:cs="Arial"/>
        </w:rPr>
        <w:t>reached;</w:t>
      </w:r>
      <w:proofErr w:type="gramEnd"/>
      <w:r w:rsidRPr="0091038D">
        <w:rPr>
          <w:rFonts w:ascii="Arial" w:hAnsi="Arial" w:cs="Arial"/>
        </w:rPr>
        <w:t xml:space="preserve"> </w:t>
      </w:r>
    </w:p>
    <w:p w14:paraId="7757EF25" w14:textId="77777777" w:rsidR="0091038D" w:rsidRPr="0091038D" w:rsidRDefault="0091038D" w:rsidP="0091038D">
      <w:pPr>
        <w:numPr>
          <w:ilvl w:val="0"/>
          <w:numId w:val="32"/>
        </w:numPr>
        <w:rPr>
          <w:rFonts w:ascii="Arial" w:hAnsi="Arial" w:cs="Arial"/>
        </w:rPr>
      </w:pPr>
      <w:r w:rsidRPr="0091038D">
        <w:rPr>
          <w:rFonts w:ascii="Arial" w:hAnsi="Arial" w:cs="Arial"/>
        </w:rPr>
        <w:t>upon integrity check failure indication from sidelink PDCP entity concerning SL-SRB2 or SL-SRB3 for a specific destination:</w:t>
      </w:r>
    </w:p>
    <w:p w14:paraId="6E19680B" w14:textId="7782A105" w:rsidR="0091038D" w:rsidRDefault="0091038D" w:rsidP="008A4FEE">
      <w:pPr>
        <w:rPr>
          <w:rFonts w:ascii="Arial" w:hAnsi="Arial" w:cs="Arial"/>
        </w:rPr>
      </w:pPr>
      <w:r>
        <w:rPr>
          <w:rFonts w:ascii="Arial" w:hAnsi="Arial" w:cs="Arial"/>
        </w:rPr>
        <w:t xml:space="preserve">Whether beam failure (BF) can trigger SL RLF was discussed to some extent in RAN2#112bis. </w:t>
      </w:r>
    </w:p>
    <w:p w14:paraId="12E17FA9" w14:textId="77777777" w:rsidR="00596458" w:rsidRDefault="007C569C" w:rsidP="007C569C">
      <w:pPr>
        <w:rPr>
          <w:rFonts w:ascii="Arial" w:hAnsi="Arial" w:cs="Arial"/>
          <w:lang w:val="en-US"/>
        </w:rPr>
      </w:pPr>
      <w:r>
        <w:rPr>
          <w:rFonts w:ascii="Arial" w:hAnsi="Arial" w:cs="Arial"/>
        </w:rPr>
        <w:t xml:space="preserve">In our view, </w:t>
      </w:r>
      <w:r w:rsidRPr="007C569C">
        <w:rPr>
          <w:rFonts w:ascii="Arial" w:hAnsi="Arial" w:cs="Arial"/>
          <w:lang w:val="en-US"/>
        </w:rPr>
        <w:t xml:space="preserve">BF </w:t>
      </w:r>
      <w:r>
        <w:rPr>
          <w:rFonts w:ascii="Arial" w:hAnsi="Arial" w:cs="Arial"/>
          <w:lang w:val="en-US"/>
        </w:rPr>
        <w:t xml:space="preserve">events </w:t>
      </w:r>
      <w:r w:rsidRPr="007C569C">
        <w:rPr>
          <w:rFonts w:ascii="Arial" w:hAnsi="Arial" w:cs="Arial"/>
          <w:lang w:val="en-US"/>
        </w:rPr>
        <w:t>detected on either direction can cause either HARQ DTX or RLC retransmission to occur</w:t>
      </w:r>
      <w:r>
        <w:rPr>
          <w:rFonts w:ascii="Arial" w:hAnsi="Arial" w:cs="Arial"/>
          <w:lang w:val="en-US"/>
        </w:rPr>
        <w:t>, w</w:t>
      </w:r>
      <w:r w:rsidRPr="007C569C">
        <w:rPr>
          <w:rFonts w:ascii="Arial" w:hAnsi="Arial" w:cs="Arial"/>
          <w:lang w:val="en-US"/>
        </w:rPr>
        <w:t>hich further triggers SL RLF to be declared if BF is consistently detected on multiple beams</w:t>
      </w:r>
      <w:r>
        <w:rPr>
          <w:rFonts w:ascii="Arial" w:hAnsi="Arial" w:cs="Arial"/>
          <w:lang w:val="en-US"/>
        </w:rPr>
        <w:t xml:space="preserve">. </w:t>
      </w:r>
    </w:p>
    <w:p w14:paraId="55D8EA40" w14:textId="33E9B1B5" w:rsidR="00596458" w:rsidRPr="00505B83" w:rsidRDefault="007C569C" w:rsidP="00596458">
      <w:pPr>
        <w:pStyle w:val="Observation"/>
        <w:rPr>
          <w:rFonts w:cs="Arial"/>
        </w:rPr>
      </w:pPr>
      <w:bookmarkStart w:id="13" w:name="_Toc146787197"/>
      <w:r w:rsidRPr="007C569C">
        <w:rPr>
          <w:rFonts w:cs="Arial"/>
          <w:lang w:val="en-US"/>
        </w:rPr>
        <w:t xml:space="preserve">BF </w:t>
      </w:r>
      <w:r w:rsidR="00596458">
        <w:rPr>
          <w:rFonts w:cs="Arial"/>
          <w:lang w:val="en-US"/>
        </w:rPr>
        <w:t xml:space="preserve">events </w:t>
      </w:r>
      <w:r w:rsidRPr="007C569C">
        <w:rPr>
          <w:rFonts w:cs="Arial"/>
          <w:lang w:val="en-US"/>
        </w:rPr>
        <w:t>detected on either direction can cause either HARQ DTX or RLC retransmission to occur</w:t>
      </w:r>
      <w:r w:rsidR="00596458">
        <w:rPr>
          <w:rFonts w:cs="Arial"/>
          <w:lang w:val="en-US"/>
        </w:rPr>
        <w:t>, w</w:t>
      </w:r>
      <w:r w:rsidRPr="007C569C">
        <w:rPr>
          <w:rFonts w:cs="Arial"/>
          <w:lang w:val="en-US"/>
        </w:rPr>
        <w:t>hich further triggers SL RLF to be declared if BF is consistently detected on multiple beams</w:t>
      </w:r>
      <w:r w:rsidR="00596458" w:rsidRPr="00505B83">
        <w:rPr>
          <w:rFonts w:cs="Arial"/>
        </w:rPr>
        <w:t>.</w:t>
      </w:r>
      <w:bookmarkEnd w:id="13"/>
      <w:r w:rsidR="00596458" w:rsidRPr="00505B83">
        <w:rPr>
          <w:rFonts w:cs="Arial"/>
        </w:rPr>
        <w:t xml:space="preserve"> </w:t>
      </w:r>
    </w:p>
    <w:p w14:paraId="3E7593CE" w14:textId="643CFDCD" w:rsidR="007C569C" w:rsidRDefault="007C569C" w:rsidP="007C569C">
      <w:pPr>
        <w:rPr>
          <w:rFonts w:ascii="Arial" w:hAnsi="Arial" w:cs="Arial"/>
          <w:lang w:val="en-US"/>
        </w:rPr>
      </w:pPr>
      <w:r>
        <w:rPr>
          <w:rFonts w:ascii="Arial" w:hAnsi="Arial" w:cs="Arial"/>
          <w:lang w:val="en-US"/>
        </w:rPr>
        <w:t>Therefore, t</w:t>
      </w:r>
      <w:r w:rsidRPr="007C569C">
        <w:rPr>
          <w:rFonts w:ascii="Arial" w:hAnsi="Arial" w:cs="Arial"/>
          <w:lang w:val="en-US"/>
        </w:rPr>
        <w:t xml:space="preserve">he existing SL RLF </w:t>
      </w:r>
      <w:r>
        <w:rPr>
          <w:rFonts w:ascii="Arial" w:hAnsi="Arial" w:cs="Arial"/>
          <w:lang w:val="en-US"/>
        </w:rPr>
        <w:t xml:space="preserve">mechanism </w:t>
      </w:r>
      <w:r w:rsidRPr="007C569C">
        <w:rPr>
          <w:rFonts w:ascii="Arial" w:hAnsi="Arial" w:cs="Arial"/>
          <w:lang w:val="en-US"/>
        </w:rPr>
        <w:t>is sufficient to handle SL BF events</w:t>
      </w:r>
      <w:r w:rsidR="00596458">
        <w:rPr>
          <w:rFonts w:ascii="Arial" w:hAnsi="Arial" w:cs="Arial"/>
          <w:lang w:val="en-US"/>
        </w:rPr>
        <w:t>.</w:t>
      </w:r>
    </w:p>
    <w:p w14:paraId="3C211D14" w14:textId="411C8D4B" w:rsidR="00596458" w:rsidRPr="00596458" w:rsidRDefault="00A15862" w:rsidP="00596458">
      <w:pPr>
        <w:pStyle w:val="Proposal"/>
        <w:rPr>
          <w:rFonts w:cs="Arial"/>
        </w:rPr>
      </w:pPr>
      <w:bookmarkStart w:id="14" w:name="_Toc146787211"/>
      <w:r>
        <w:rPr>
          <w:rFonts w:cs="Arial"/>
        </w:rPr>
        <w:t>No enhancement to SL RLF triggers due to SL beam failure</w:t>
      </w:r>
      <w:r w:rsidR="000315D6">
        <w:rPr>
          <w:rFonts w:cs="Arial"/>
        </w:rPr>
        <w:t xml:space="preserve"> is pursued</w:t>
      </w:r>
      <w:r>
        <w:rPr>
          <w:rFonts w:cs="Arial"/>
        </w:rPr>
        <w:t>.</w:t>
      </w:r>
      <w:bookmarkEnd w:id="14"/>
      <w:r>
        <w:rPr>
          <w:rFonts w:cs="Arial"/>
        </w:rPr>
        <w:t xml:space="preserve"> </w:t>
      </w:r>
    </w:p>
    <w:p w14:paraId="0CF6040A" w14:textId="04F54237" w:rsidR="00064E39" w:rsidRPr="00CE0424" w:rsidRDefault="00E97523" w:rsidP="00064E39">
      <w:pPr>
        <w:pStyle w:val="Heading1"/>
      </w:pPr>
      <w:bookmarkStart w:id="15" w:name="_Toc70424553"/>
      <w:bookmarkStart w:id="16" w:name="_Ref189046994"/>
      <w:bookmarkEnd w:id="15"/>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F0E4D5C" w14:textId="3142AD6C" w:rsidR="009274D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6787195" w:history="1">
        <w:r w:rsidR="009274DA" w:rsidRPr="00174CB8">
          <w:rPr>
            <w:rStyle w:val="Hyperlink"/>
            <w:rFonts w:cs="Arial"/>
            <w:noProof/>
          </w:rPr>
          <w:t>Observation 1</w:t>
        </w:r>
        <w:r w:rsidR="009274DA">
          <w:rPr>
            <w:rFonts w:asciiTheme="minorHAnsi" w:eastAsiaTheme="minorEastAsia" w:hAnsiTheme="minorHAnsi" w:cstheme="minorBidi"/>
            <w:b w:val="0"/>
            <w:noProof/>
            <w:sz w:val="22"/>
            <w:szCs w:val="22"/>
            <w:lang w:val="en-SE" w:eastAsia="zh-CN"/>
          </w:rPr>
          <w:tab/>
        </w:r>
        <w:r w:rsidR="009274DA" w:rsidRPr="00174CB8">
          <w:rPr>
            <w:rStyle w:val="Hyperlink"/>
            <w:rFonts w:cs="Arial"/>
            <w:noProof/>
          </w:rPr>
          <w:t>In case of Mode 1 RA operation, the UE sends SR and SL-BSRs to the gNB for requesting SL grants. Thereafter, the gNB schedules dynamic SL grants or configured grants to the UE. After that, the UE selects the destination and the logical channels associated with the destination relying on the LCP procedure.</w:t>
        </w:r>
      </w:hyperlink>
    </w:p>
    <w:p w14:paraId="62BAAE9E" w14:textId="3B7E01AC"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196" w:history="1">
        <w:r w:rsidRPr="00174CB8">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174CB8">
          <w:rPr>
            <w:rStyle w:val="Hyperlink"/>
            <w:rFonts w:cs="Arial"/>
            <w:noProof/>
          </w:rPr>
          <w:t>the gNB may have no direct knowledge on the destination and the LCHs which the UE has selected for the SL data transmission using the SL grant</w:t>
        </w:r>
      </w:hyperlink>
    </w:p>
    <w:p w14:paraId="2EC9C854" w14:textId="3076005A"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197" w:history="1">
        <w:r w:rsidRPr="00174CB8">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174CB8">
          <w:rPr>
            <w:rStyle w:val="Hyperlink"/>
            <w:rFonts w:cs="Arial"/>
            <w:noProof/>
            <w:lang w:val="en-US"/>
          </w:rPr>
          <w:t>BF events detected on either direction can cause either HARQ DTX or RLC retransmission to occur, which further triggers SL RLF to be declared if BF is consistently detected on multiple beams</w:t>
        </w:r>
        <w:r w:rsidRPr="00174CB8">
          <w:rPr>
            <w:rStyle w:val="Hyperlink"/>
            <w:rFonts w:cs="Arial"/>
            <w:noProof/>
          </w:rPr>
          <w:t>.</w:t>
        </w:r>
      </w:hyperlink>
    </w:p>
    <w:p w14:paraId="7DC46F5D" w14:textId="5F6D468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EC9E9DC" w14:textId="73597F2D" w:rsidR="009274D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87205" w:history="1">
        <w:r w:rsidR="009274DA" w:rsidRPr="00F51451">
          <w:rPr>
            <w:rStyle w:val="Hyperlink"/>
            <w:rFonts w:cs="Arial"/>
            <w:noProof/>
          </w:rPr>
          <w:t>Proposal 1</w:t>
        </w:r>
        <w:r w:rsidR="009274DA">
          <w:rPr>
            <w:rFonts w:asciiTheme="minorHAnsi" w:eastAsiaTheme="minorEastAsia" w:hAnsiTheme="minorHAnsi" w:cstheme="minorBidi"/>
            <w:b w:val="0"/>
            <w:noProof/>
            <w:sz w:val="22"/>
            <w:szCs w:val="22"/>
            <w:lang w:val="en-SE" w:eastAsia="zh-CN"/>
          </w:rPr>
          <w:tab/>
        </w:r>
        <w:r w:rsidR="009274DA" w:rsidRPr="00F51451">
          <w:rPr>
            <w:rStyle w:val="Hyperlink"/>
            <w:rFonts w:cs="Arial"/>
            <w:noProof/>
          </w:rPr>
          <w:t>Beam failure detection is performed in RX UE based manner.</w:t>
        </w:r>
      </w:hyperlink>
    </w:p>
    <w:p w14:paraId="131D68C1" w14:textId="4305A15B"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206" w:history="1">
        <w:r w:rsidRPr="00F51451">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F51451">
          <w:rPr>
            <w:rStyle w:val="Hyperlink"/>
            <w:rFonts w:cs="Arial"/>
            <w:noProof/>
          </w:rPr>
          <w:t>For a UE pair, both UEs perform beam failure detection and recovery procedure independently.</w:t>
        </w:r>
      </w:hyperlink>
    </w:p>
    <w:p w14:paraId="6A4860B2" w14:textId="45907FFB"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207" w:history="1">
        <w:r w:rsidRPr="00F51451">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F51451">
          <w:rPr>
            <w:rStyle w:val="Hyperlink"/>
            <w:rFonts w:cs="Arial"/>
            <w:noProof/>
          </w:rPr>
          <w:t>In case of Mode 1 RA operation, it is up to the UE’s decision on how to determine a TX beam. The UE doesn’t forward CSI report received from a peer UE to the gNB.</w:t>
        </w:r>
      </w:hyperlink>
    </w:p>
    <w:p w14:paraId="75B2696C" w14:textId="0769082D"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208" w:history="1">
        <w:r w:rsidRPr="00F51451">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F51451">
          <w:rPr>
            <w:rStyle w:val="Hyperlink"/>
            <w:rFonts w:cs="Arial"/>
            <w:noProof/>
          </w:rPr>
          <w:t>It is up to the UE pair (i.e., TX UE and RX UE) on how to handle BFR events.</w:t>
        </w:r>
      </w:hyperlink>
    </w:p>
    <w:p w14:paraId="58834F7E" w14:textId="2609005B"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209" w:history="1">
        <w:r w:rsidRPr="00F51451">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F51451">
          <w:rPr>
            <w:rStyle w:val="Hyperlink"/>
            <w:rFonts w:cs="Arial"/>
            <w:noProof/>
          </w:rPr>
          <w:t>A RX UE doesn’t report detected BFR events to the gNB.</w:t>
        </w:r>
      </w:hyperlink>
    </w:p>
    <w:p w14:paraId="408D66F8" w14:textId="610E5A57"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210" w:history="1">
        <w:r w:rsidRPr="00F51451">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F51451">
          <w:rPr>
            <w:rStyle w:val="Hyperlink"/>
            <w:rFonts w:cs="Arial"/>
            <w:noProof/>
          </w:rPr>
          <w:t>A TX UE doesn’t forward a received BFRQ message to the gNB.</w:t>
        </w:r>
      </w:hyperlink>
    </w:p>
    <w:p w14:paraId="0BB41BE7" w14:textId="42A271E6" w:rsidR="009274DA" w:rsidRDefault="009274D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87211" w:history="1">
        <w:r w:rsidRPr="00F51451">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F51451">
          <w:rPr>
            <w:rStyle w:val="Hyperlink"/>
            <w:rFonts w:cs="Arial"/>
            <w:noProof/>
          </w:rPr>
          <w:t>No enhancement to SL RLF triggers due to SL beam failure is pursued.</w:t>
        </w:r>
      </w:hyperlink>
    </w:p>
    <w:p w14:paraId="6AB824BA" w14:textId="30E2C33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lastRenderedPageBreak/>
        <w:t xml:space="preserve">4 </w:t>
      </w:r>
      <w:r w:rsidR="00064E39" w:rsidRPr="00F011B0">
        <w:t>References</w:t>
      </w:r>
    </w:p>
    <w:bookmarkEnd w:id="16"/>
    <w:p w14:paraId="359FB957" w14:textId="5FDD6610" w:rsidR="00665AC5" w:rsidRPr="006E2CF5" w:rsidRDefault="00EF202C"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E2CF5">
        <w:rPr>
          <w:rFonts w:ascii="Arial" w:hAnsi="Arial" w:cs="Arial"/>
          <w:bCs/>
          <w:sz w:val="20"/>
          <w:szCs w:val="20"/>
          <w:lang w:val="en-US"/>
        </w:rPr>
        <w:t>RP-2</w:t>
      </w:r>
      <w:r w:rsidR="003532CD" w:rsidRPr="006E2CF5">
        <w:rPr>
          <w:rFonts w:ascii="Arial" w:hAnsi="Arial" w:cs="Arial"/>
          <w:bCs/>
          <w:sz w:val="20"/>
          <w:szCs w:val="20"/>
          <w:lang w:val="en-US"/>
        </w:rPr>
        <w:t>30077</w:t>
      </w:r>
      <w:r w:rsidR="00665AC5" w:rsidRPr="006E2CF5">
        <w:rPr>
          <w:rFonts w:ascii="Arial" w:hAnsi="Arial" w:cs="Arial"/>
          <w:bCs/>
          <w:sz w:val="20"/>
          <w:szCs w:val="20"/>
        </w:rPr>
        <w:t xml:space="preserve">, </w:t>
      </w:r>
      <w:r w:rsidR="00665AC5" w:rsidRPr="006E2CF5">
        <w:rPr>
          <w:rFonts w:ascii="Arial" w:hAnsi="Arial" w:cs="Arial"/>
          <w:bCs/>
          <w:sz w:val="20"/>
          <w:szCs w:val="20"/>
          <w:lang w:eastAsia="zh-CN"/>
        </w:rPr>
        <w:t>WID revision: NR sidelink evolution</w:t>
      </w:r>
      <w:r w:rsidR="00665AC5" w:rsidRPr="006E2CF5">
        <w:rPr>
          <w:rFonts w:ascii="Arial" w:hAnsi="Arial" w:cs="Arial"/>
          <w:bCs/>
          <w:sz w:val="20"/>
          <w:szCs w:val="20"/>
        </w:rPr>
        <w:t>, RAN #</w:t>
      </w:r>
      <w:r w:rsidR="003F1E0F" w:rsidRPr="006E2CF5">
        <w:rPr>
          <w:rFonts w:ascii="Arial" w:hAnsi="Arial" w:cs="Arial"/>
          <w:bCs/>
          <w:sz w:val="20"/>
          <w:szCs w:val="20"/>
          <w:lang w:val="en-GB"/>
        </w:rPr>
        <w:t>9</w:t>
      </w:r>
      <w:r w:rsidR="00A646A1" w:rsidRPr="006E2CF5">
        <w:rPr>
          <w:rFonts w:ascii="Arial" w:hAnsi="Arial" w:cs="Arial"/>
          <w:bCs/>
          <w:sz w:val="20"/>
          <w:szCs w:val="20"/>
          <w:lang w:val="en-GB"/>
        </w:rPr>
        <w:t>9</w:t>
      </w:r>
      <w:r w:rsidR="00665AC5" w:rsidRPr="006E2CF5">
        <w:rPr>
          <w:rFonts w:ascii="Arial" w:hAnsi="Arial" w:cs="Arial"/>
          <w:bCs/>
          <w:sz w:val="20"/>
          <w:szCs w:val="20"/>
        </w:rPr>
        <w:t xml:space="preserve">, </w:t>
      </w:r>
      <w:r w:rsidR="00A646A1" w:rsidRPr="008D271C">
        <w:rPr>
          <w:rFonts w:ascii="Arial" w:hAnsi="Arial" w:cs="Arial"/>
          <w:bCs/>
          <w:noProof/>
          <w:sz w:val="20"/>
          <w:szCs w:val="20"/>
        </w:rPr>
        <w:t xml:space="preserve">March 20 – 23, </w:t>
      </w:r>
      <w:r w:rsidR="00665AC5" w:rsidRPr="006E2CF5">
        <w:rPr>
          <w:rFonts w:ascii="Arial" w:hAnsi="Arial" w:cs="Arial"/>
          <w:bCs/>
          <w:noProof/>
          <w:sz w:val="20"/>
          <w:szCs w:val="20"/>
        </w:rPr>
        <w:t>202</w:t>
      </w:r>
      <w:r w:rsidR="00A646A1" w:rsidRPr="006E2CF5">
        <w:rPr>
          <w:rFonts w:ascii="Arial" w:hAnsi="Arial" w:cs="Arial"/>
          <w:bCs/>
          <w:noProof/>
          <w:sz w:val="20"/>
          <w:szCs w:val="20"/>
          <w:lang w:val="en-US"/>
        </w:rPr>
        <w:t>3</w:t>
      </w:r>
      <w:r w:rsidR="00665AC5" w:rsidRPr="006E2CF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36E2" w14:textId="77777777" w:rsidR="004F09C3" w:rsidRDefault="004F09C3">
      <w:r>
        <w:separator/>
      </w:r>
    </w:p>
  </w:endnote>
  <w:endnote w:type="continuationSeparator" w:id="0">
    <w:p w14:paraId="7F29D793" w14:textId="77777777" w:rsidR="004F09C3" w:rsidRDefault="004F09C3">
      <w:r>
        <w:continuationSeparator/>
      </w:r>
    </w:p>
  </w:endnote>
  <w:endnote w:type="continuationNotice" w:id="1">
    <w:p w14:paraId="4E206A31" w14:textId="77777777" w:rsidR="004F09C3" w:rsidRDefault="004F0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1172" w14:textId="77777777" w:rsidR="004F09C3" w:rsidRDefault="004F09C3">
      <w:r>
        <w:separator/>
      </w:r>
    </w:p>
  </w:footnote>
  <w:footnote w:type="continuationSeparator" w:id="0">
    <w:p w14:paraId="1601D94B" w14:textId="77777777" w:rsidR="004F09C3" w:rsidRDefault="004F09C3">
      <w:r>
        <w:continuationSeparator/>
      </w:r>
    </w:p>
  </w:footnote>
  <w:footnote w:type="continuationNotice" w:id="1">
    <w:p w14:paraId="0B9EE1D5" w14:textId="77777777" w:rsidR="004F09C3" w:rsidRDefault="004F0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063DE"/>
    <w:multiLevelType w:val="hybridMultilevel"/>
    <w:tmpl w:val="331ADC8C"/>
    <w:lvl w:ilvl="0" w:tplc="A3266FD6">
      <w:start w:val="1"/>
      <w:numFmt w:val="bullet"/>
      <w:lvlText w:val="●"/>
      <w:lvlJc w:val="left"/>
      <w:pPr>
        <w:tabs>
          <w:tab w:val="num" w:pos="720"/>
        </w:tabs>
        <w:ind w:left="720" w:hanging="360"/>
      </w:pPr>
      <w:rPr>
        <w:rFonts w:ascii="Ericsson Hilda" w:hAnsi="Ericsson Hilda" w:hint="default"/>
      </w:rPr>
    </w:lvl>
    <w:lvl w:ilvl="1" w:tplc="E5627E4E">
      <w:numFmt w:val="bullet"/>
      <w:lvlText w:val="–"/>
      <w:lvlJc w:val="left"/>
      <w:pPr>
        <w:tabs>
          <w:tab w:val="num" w:pos="1440"/>
        </w:tabs>
        <w:ind w:left="1440" w:hanging="360"/>
      </w:pPr>
      <w:rPr>
        <w:rFonts w:ascii="Ericsson Hilda" w:hAnsi="Ericsson Hilda" w:hint="default"/>
      </w:rPr>
    </w:lvl>
    <w:lvl w:ilvl="2" w:tplc="076AE816" w:tentative="1">
      <w:start w:val="1"/>
      <w:numFmt w:val="bullet"/>
      <w:lvlText w:val="●"/>
      <w:lvlJc w:val="left"/>
      <w:pPr>
        <w:tabs>
          <w:tab w:val="num" w:pos="2160"/>
        </w:tabs>
        <w:ind w:left="2160" w:hanging="360"/>
      </w:pPr>
      <w:rPr>
        <w:rFonts w:ascii="Ericsson Hilda" w:hAnsi="Ericsson Hilda" w:hint="default"/>
      </w:rPr>
    </w:lvl>
    <w:lvl w:ilvl="3" w:tplc="1F042416" w:tentative="1">
      <w:start w:val="1"/>
      <w:numFmt w:val="bullet"/>
      <w:lvlText w:val="●"/>
      <w:lvlJc w:val="left"/>
      <w:pPr>
        <w:tabs>
          <w:tab w:val="num" w:pos="2880"/>
        </w:tabs>
        <w:ind w:left="2880" w:hanging="360"/>
      </w:pPr>
      <w:rPr>
        <w:rFonts w:ascii="Ericsson Hilda" w:hAnsi="Ericsson Hilda" w:hint="default"/>
      </w:rPr>
    </w:lvl>
    <w:lvl w:ilvl="4" w:tplc="C7EE6D66" w:tentative="1">
      <w:start w:val="1"/>
      <w:numFmt w:val="bullet"/>
      <w:lvlText w:val="●"/>
      <w:lvlJc w:val="left"/>
      <w:pPr>
        <w:tabs>
          <w:tab w:val="num" w:pos="3600"/>
        </w:tabs>
        <w:ind w:left="3600" w:hanging="360"/>
      </w:pPr>
      <w:rPr>
        <w:rFonts w:ascii="Ericsson Hilda" w:hAnsi="Ericsson Hilda" w:hint="default"/>
      </w:rPr>
    </w:lvl>
    <w:lvl w:ilvl="5" w:tplc="6F0C9E00" w:tentative="1">
      <w:start w:val="1"/>
      <w:numFmt w:val="bullet"/>
      <w:lvlText w:val="●"/>
      <w:lvlJc w:val="left"/>
      <w:pPr>
        <w:tabs>
          <w:tab w:val="num" w:pos="4320"/>
        </w:tabs>
        <w:ind w:left="4320" w:hanging="360"/>
      </w:pPr>
      <w:rPr>
        <w:rFonts w:ascii="Ericsson Hilda" w:hAnsi="Ericsson Hilda" w:hint="default"/>
      </w:rPr>
    </w:lvl>
    <w:lvl w:ilvl="6" w:tplc="029A25D8" w:tentative="1">
      <w:start w:val="1"/>
      <w:numFmt w:val="bullet"/>
      <w:lvlText w:val="●"/>
      <w:lvlJc w:val="left"/>
      <w:pPr>
        <w:tabs>
          <w:tab w:val="num" w:pos="5040"/>
        </w:tabs>
        <w:ind w:left="5040" w:hanging="360"/>
      </w:pPr>
      <w:rPr>
        <w:rFonts w:ascii="Ericsson Hilda" w:hAnsi="Ericsson Hilda" w:hint="default"/>
      </w:rPr>
    </w:lvl>
    <w:lvl w:ilvl="7" w:tplc="25B638B6" w:tentative="1">
      <w:start w:val="1"/>
      <w:numFmt w:val="bullet"/>
      <w:lvlText w:val="●"/>
      <w:lvlJc w:val="left"/>
      <w:pPr>
        <w:tabs>
          <w:tab w:val="num" w:pos="5760"/>
        </w:tabs>
        <w:ind w:left="5760" w:hanging="360"/>
      </w:pPr>
      <w:rPr>
        <w:rFonts w:ascii="Ericsson Hilda" w:hAnsi="Ericsson Hilda" w:hint="default"/>
      </w:rPr>
    </w:lvl>
    <w:lvl w:ilvl="8" w:tplc="0178977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9651F35"/>
    <w:multiLevelType w:val="hybridMultilevel"/>
    <w:tmpl w:val="D4DA5562"/>
    <w:lvl w:ilvl="0" w:tplc="0A48DADA">
      <w:start w:val="1"/>
      <w:numFmt w:val="bullet"/>
      <w:lvlText w:val="●"/>
      <w:lvlJc w:val="left"/>
      <w:pPr>
        <w:tabs>
          <w:tab w:val="num" w:pos="720"/>
        </w:tabs>
        <w:ind w:left="720" w:hanging="360"/>
      </w:pPr>
      <w:rPr>
        <w:rFonts w:ascii="Ericsson Hilda" w:hAnsi="Ericsson Hilda" w:hint="default"/>
      </w:rPr>
    </w:lvl>
    <w:lvl w:ilvl="1" w:tplc="8E70E02A">
      <w:numFmt w:val="bullet"/>
      <w:lvlText w:val="–"/>
      <w:lvlJc w:val="left"/>
      <w:pPr>
        <w:tabs>
          <w:tab w:val="num" w:pos="1440"/>
        </w:tabs>
        <w:ind w:left="1440" w:hanging="360"/>
      </w:pPr>
      <w:rPr>
        <w:rFonts w:ascii="Ericsson Hilda" w:hAnsi="Ericsson Hilda" w:hint="default"/>
      </w:rPr>
    </w:lvl>
    <w:lvl w:ilvl="2" w:tplc="603EC8A0">
      <w:start w:val="1"/>
      <w:numFmt w:val="bullet"/>
      <w:lvlText w:val="●"/>
      <w:lvlJc w:val="left"/>
      <w:pPr>
        <w:tabs>
          <w:tab w:val="num" w:pos="2160"/>
        </w:tabs>
        <w:ind w:left="2160" w:hanging="360"/>
      </w:pPr>
      <w:rPr>
        <w:rFonts w:ascii="Ericsson Hilda" w:hAnsi="Ericsson Hilda" w:hint="default"/>
      </w:rPr>
    </w:lvl>
    <w:lvl w:ilvl="3" w:tplc="25A0E7F4" w:tentative="1">
      <w:start w:val="1"/>
      <w:numFmt w:val="bullet"/>
      <w:lvlText w:val="●"/>
      <w:lvlJc w:val="left"/>
      <w:pPr>
        <w:tabs>
          <w:tab w:val="num" w:pos="2880"/>
        </w:tabs>
        <w:ind w:left="2880" w:hanging="360"/>
      </w:pPr>
      <w:rPr>
        <w:rFonts w:ascii="Ericsson Hilda" w:hAnsi="Ericsson Hilda" w:hint="default"/>
      </w:rPr>
    </w:lvl>
    <w:lvl w:ilvl="4" w:tplc="350434EE" w:tentative="1">
      <w:start w:val="1"/>
      <w:numFmt w:val="bullet"/>
      <w:lvlText w:val="●"/>
      <w:lvlJc w:val="left"/>
      <w:pPr>
        <w:tabs>
          <w:tab w:val="num" w:pos="3600"/>
        </w:tabs>
        <w:ind w:left="3600" w:hanging="360"/>
      </w:pPr>
      <w:rPr>
        <w:rFonts w:ascii="Ericsson Hilda" w:hAnsi="Ericsson Hilda" w:hint="default"/>
      </w:rPr>
    </w:lvl>
    <w:lvl w:ilvl="5" w:tplc="FFA609EA" w:tentative="1">
      <w:start w:val="1"/>
      <w:numFmt w:val="bullet"/>
      <w:lvlText w:val="●"/>
      <w:lvlJc w:val="left"/>
      <w:pPr>
        <w:tabs>
          <w:tab w:val="num" w:pos="4320"/>
        </w:tabs>
        <w:ind w:left="4320" w:hanging="360"/>
      </w:pPr>
      <w:rPr>
        <w:rFonts w:ascii="Ericsson Hilda" w:hAnsi="Ericsson Hilda" w:hint="default"/>
      </w:rPr>
    </w:lvl>
    <w:lvl w:ilvl="6" w:tplc="C3A8BEFC" w:tentative="1">
      <w:start w:val="1"/>
      <w:numFmt w:val="bullet"/>
      <w:lvlText w:val="●"/>
      <w:lvlJc w:val="left"/>
      <w:pPr>
        <w:tabs>
          <w:tab w:val="num" w:pos="5040"/>
        </w:tabs>
        <w:ind w:left="5040" w:hanging="360"/>
      </w:pPr>
      <w:rPr>
        <w:rFonts w:ascii="Ericsson Hilda" w:hAnsi="Ericsson Hilda" w:hint="default"/>
      </w:rPr>
    </w:lvl>
    <w:lvl w:ilvl="7" w:tplc="5002E97E" w:tentative="1">
      <w:start w:val="1"/>
      <w:numFmt w:val="bullet"/>
      <w:lvlText w:val="●"/>
      <w:lvlJc w:val="left"/>
      <w:pPr>
        <w:tabs>
          <w:tab w:val="num" w:pos="5760"/>
        </w:tabs>
        <w:ind w:left="5760" w:hanging="360"/>
      </w:pPr>
      <w:rPr>
        <w:rFonts w:ascii="Ericsson Hilda" w:hAnsi="Ericsson Hilda" w:hint="default"/>
      </w:rPr>
    </w:lvl>
    <w:lvl w:ilvl="8" w:tplc="0F60523C"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8"/>
  </w:num>
  <w:num w:numId="2" w16cid:durableId="539241444">
    <w:abstractNumId w:val="14"/>
  </w:num>
  <w:num w:numId="3" w16cid:durableId="633946746">
    <w:abstractNumId w:val="0"/>
  </w:num>
  <w:num w:numId="4" w16cid:durableId="838884328">
    <w:abstractNumId w:val="19"/>
  </w:num>
  <w:num w:numId="5" w16cid:durableId="1250696418">
    <w:abstractNumId w:val="21"/>
  </w:num>
  <w:num w:numId="6" w16cid:durableId="445852693">
    <w:abstractNumId w:val="23"/>
  </w:num>
  <w:num w:numId="7" w16cid:durableId="827941845">
    <w:abstractNumId w:val="8"/>
  </w:num>
  <w:num w:numId="8" w16cid:durableId="1987388787">
    <w:abstractNumId w:val="9"/>
  </w:num>
  <w:num w:numId="9" w16cid:durableId="2106924709">
    <w:abstractNumId w:val="6"/>
  </w:num>
  <w:num w:numId="10" w16cid:durableId="1595745224">
    <w:abstractNumId w:val="31"/>
  </w:num>
  <w:num w:numId="11" w16cid:durableId="845285635">
    <w:abstractNumId w:val="11"/>
  </w:num>
  <w:num w:numId="12" w16cid:durableId="1653481620">
    <w:abstractNumId w:val="27"/>
  </w:num>
  <w:num w:numId="13" w16cid:durableId="554195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9"/>
  </w:num>
  <w:num w:numId="15" w16cid:durableId="413405436">
    <w:abstractNumId w:val="17"/>
  </w:num>
  <w:num w:numId="16" w16cid:durableId="1489252163">
    <w:abstractNumId w:val="12"/>
  </w:num>
  <w:num w:numId="17" w16cid:durableId="1748502438">
    <w:abstractNumId w:val="1"/>
  </w:num>
  <w:num w:numId="18" w16cid:durableId="24719923">
    <w:abstractNumId w:val="22"/>
  </w:num>
  <w:num w:numId="19" w16cid:durableId="2141417388">
    <w:abstractNumId w:val="2"/>
  </w:num>
  <w:num w:numId="20" w16cid:durableId="901600968">
    <w:abstractNumId w:val="30"/>
  </w:num>
  <w:num w:numId="21" w16cid:durableId="811294607">
    <w:abstractNumId w:val="10"/>
  </w:num>
  <w:num w:numId="22" w16cid:durableId="1029767259">
    <w:abstractNumId w:val="7"/>
  </w:num>
  <w:num w:numId="23" w16cid:durableId="1682586449">
    <w:abstractNumId w:val="15"/>
  </w:num>
  <w:num w:numId="24" w16cid:durableId="1919746101">
    <w:abstractNumId w:val="24"/>
  </w:num>
  <w:num w:numId="25" w16cid:durableId="818154701">
    <w:abstractNumId w:val="4"/>
  </w:num>
  <w:num w:numId="26" w16cid:durableId="919370281">
    <w:abstractNumId w:val="16"/>
  </w:num>
  <w:num w:numId="27" w16cid:durableId="1243686004">
    <w:abstractNumId w:val="13"/>
  </w:num>
  <w:num w:numId="28" w16cid:durableId="1498114367">
    <w:abstractNumId w:val="28"/>
  </w:num>
  <w:num w:numId="29" w16cid:durableId="775491223">
    <w:abstractNumId w:val="32"/>
  </w:num>
  <w:num w:numId="30" w16cid:durableId="1043479754">
    <w:abstractNumId w:val="3"/>
  </w:num>
  <w:num w:numId="31" w16cid:durableId="914901710">
    <w:abstractNumId w:val="26"/>
  </w:num>
  <w:num w:numId="32" w16cid:durableId="1371416193">
    <w:abstractNumId w:val="25"/>
  </w:num>
  <w:num w:numId="33" w16cid:durableId="129486774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3F3F"/>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0F4D"/>
    <w:rsid w:val="0002149D"/>
    <w:rsid w:val="00022E21"/>
    <w:rsid w:val="000238F9"/>
    <w:rsid w:val="00023FDB"/>
    <w:rsid w:val="0002534B"/>
    <w:rsid w:val="0002564D"/>
    <w:rsid w:val="00025ECA"/>
    <w:rsid w:val="0002615C"/>
    <w:rsid w:val="00026857"/>
    <w:rsid w:val="000300E4"/>
    <w:rsid w:val="000315D6"/>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871"/>
    <w:rsid w:val="00072D12"/>
    <w:rsid w:val="0007368D"/>
    <w:rsid w:val="00075F55"/>
    <w:rsid w:val="000764D7"/>
    <w:rsid w:val="0007656F"/>
    <w:rsid w:val="00077E5F"/>
    <w:rsid w:val="00080320"/>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28C0"/>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49B9"/>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ED0"/>
    <w:rsid w:val="00157FCB"/>
    <w:rsid w:val="001604C7"/>
    <w:rsid w:val="00163175"/>
    <w:rsid w:val="00163C15"/>
    <w:rsid w:val="00164C64"/>
    <w:rsid w:val="00164FA1"/>
    <w:rsid w:val="0016509F"/>
    <w:rsid w:val="001659C1"/>
    <w:rsid w:val="00167485"/>
    <w:rsid w:val="00170107"/>
    <w:rsid w:val="00170245"/>
    <w:rsid w:val="00173A8E"/>
    <w:rsid w:val="0017502C"/>
    <w:rsid w:val="00175E8D"/>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3D7"/>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5D9"/>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77717"/>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38B"/>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17408"/>
    <w:rsid w:val="003203ED"/>
    <w:rsid w:val="00322C9F"/>
    <w:rsid w:val="0032394D"/>
    <w:rsid w:val="00324419"/>
    <w:rsid w:val="00324D23"/>
    <w:rsid w:val="00325601"/>
    <w:rsid w:val="00326460"/>
    <w:rsid w:val="00326C76"/>
    <w:rsid w:val="0033083B"/>
    <w:rsid w:val="00331751"/>
    <w:rsid w:val="00331C5B"/>
    <w:rsid w:val="003323D5"/>
    <w:rsid w:val="003338B5"/>
    <w:rsid w:val="00333923"/>
    <w:rsid w:val="00334221"/>
    <w:rsid w:val="00334579"/>
    <w:rsid w:val="00335858"/>
    <w:rsid w:val="0033617E"/>
    <w:rsid w:val="00336690"/>
    <w:rsid w:val="00336BDA"/>
    <w:rsid w:val="00340BE5"/>
    <w:rsid w:val="00342BD7"/>
    <w:rsid w:val="00342CDF"/>
    <w:rsid w:val="00344973"/>
    <w:rsid w:val="00346DB5"/>
    <w:rsid w:val="003477B1"/>
    <w:rsid w:val="003509F5"/>
    <w:rsid w:val="00350BA3"/>
    <w:rsid w:val="003532CD"/>
    <w:rsid w:val="00354ECC"/>
    <w:rsid w:val="003565A2"/>
    <w:rsid w:val="00357380"/>
    <w:rsid w:val="003602D9"/>
    <w:rsid w:val="003604CE"/>
    <w:rsid w:val="00364EA6"/>
    <w:rsid w:val="003675CC"/>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4638"/>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DE2"/>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57FEE"/>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3A4"/>
    <w:rsid w:val="00474844"/>
    <w:rsid w:val="00475523"/>
    <w:rsid w:val="0047556B"/>
    <w:rsid w:val="004755B3"/>
    <w:rsid w:val="0047705A"/>
    <w:rsid w:val="00477768"/>
    <w:rsid w:val="00482038"/>
    <w:rsid w:val="004826A3"/>
    <w:rsid w:val="0048310F"/>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9C3"/>
    <w:rsid w:val="004F0B4E"/>
    <w:rsid w:val="004F0B6C"/>
    <w:rsid w:val="004F2078"/>
    <w:rsid w:val="004F217B"/>
    <w:rsid w:val="004F3517"/>
    <w:rsid w:val="004F4213"/>
    <w:rsid w:val="004F4896"/>
    <w:rsid w:val="004F4DA3"/>
    <w:rsid w:val="004F58BE"/>
    <w:rsid w:val="004F59BA"/>
    <w:rsid w:val="0050521C"/>
    <w:rsid w:val="00505B83"/>
    <w:rsid w:val="00505DCD"/>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209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704B1"/>
    <w:rsid w:val="0057143B"/>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562"/>
    <w:rsid w:val="00590DFD"/>
    <w:rsid w:val="00591772"/>
    <w:rsid w:val="005923FC"/>
    <w:rsid w:val="005935A4"/>
    <w:rsid w:val="005948C2"/>
    <w:rsid w:val="00594F46"/>
    <w:rsid w:val="00595686"/>
    <w:rsid w:val="00595796"/>
    <w:rsid w:val="00595D1C"/>
    <w:rsid w:val="00595DCA"/>
    <w:rsid w:val="00596002"/>
    <w:rsid w:val="00596458"/>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2066"/>
    <w:rsid w:val="005C33F2"/>
    <w:rsid w:val="005C409F"/>
    <w:rsid w:val="005C45F1"/>
    <w:rsid w:val="005C4F06"/>
    <w:rsid w:val="005C66B6"/>
    <w:rsid w:val="005C74FB"/>
    <w:rsid w:val="005C7531"/>
    <w:rsid w:val="005C775A"/>
    <w:rsid w:val="005C7DEC"/>
    <w:rsid w:val="005D0A6F"/>
    <w:rsid w:val="005D1602"/>
    <w:rsid w:val="005D2EBB"/>
    <w:rsid w:val="005D4777"/>
    <w:rsid w:val="005D51E7"/>
    <w:rsid w:val="005D74EE"/>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2CF"/>
    <w:rsid w:val="00652936"/>
    <w:rsid w:val="0065364B"/>
    <w:rsid w:val="00655733"/>
    <w:rsid w:val="00655ACD"/>
    <w:rsid w:val="0065677C"/>
    <w:rsid w:val="00656843"/>
    <w:rsid w:val="00656A8F"/>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2CF5"/>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1FB5"/>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1FFD"/>
    <w:rsid w:val="0073202A"/>
    <w:rsid w:val="00732A7F"/>
    <w:rsid w:val="00732DB6"/>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EC5"/>
    <w:rsid w:val="00785F54"/>
    <w:rsid w:val="00787524"/>
    <w:rsid w:val="00790BEE"/>
    <w:rsid w:val="00791415"/>
    <w:rsid w:val="007925EA"/>
    <w:rsid w:val="00792F58"/>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D2D"/>
    <w:rsid w:val="007B50AE"/>
    <w:rsid w:val="007B51DF"/>
    <w:rsid w:val="007B5C09"/>
    <w:rsid w:val="007B5E59"/>
    <w:rsid w:val="007C0193"/>
    <w:rsid w:val="007C05DD"/>
    <w:rsid w:val="007C35A0"/>
    <w:rsid w:val="007C3707"/>
    <w:rsid w:val="007C3D18"/>
    <w:rsid w:val="007C517D"/>
    <w:rsid w:val="007C569C"/>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51AD"/>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71C"/>
    <w:rsid w:val="008D2D23"/>
    <w:rsid w:val="008D32E1"/>
    <w:rsid w:val="008D34F1"/>
    <w:rsid w:val="008D39D8"/>
    <w:rsid w:val="008D524E"/>
    <w:rsid w:val="008D56F4"/>
    <w:rsid w:val="008D6D1A"/>
    <w:rsid w:val="008E065E"/>
    <w:rsid w:val="008E0927"/>
    <w:rsid w:val="008E1909"/>
    <w:rsid w:val="008E1C5C"/>
    <w:rsid w:val="008E21BD"/>
    <w:rsid w:val="008F068E"/>
    <w:rsid w:val="008F121F"/>
    <w:rsid w:val="008F1EAB"/>
    <w:rsid w:val="008F24C1"/>
    <w:rsid w:val="008F33DC"/>
    <w:rsid w:val="008F4687"/>
    <w:rsid w:val="008F477F"/>
    <w:rsid w:val="008F5B42"/>
    <w:rsid w:val="008F5C96"/>
    <w:rsid w:val="00902350"/>
    <w:rsid w:val="0090336B"/>
    <w:rsid w:val="009053AA"/>
    <w:rsid w:val="00905E37"/>
    <w:rsid w:val="009063CF"/>
    <w:rsid w:val="00906939"/>
    <w:rsid w:val="0091038D"/>
    <w:rsid w:val="00910A35"/>
    <w:rsid w:val="00910B7D"/>
    <w:rsid w:val="00911267"/>
    <w:rsid w:val="00911BA8"/>
    <w:rsid w:val="00911DFB"/>
    <w:rsid w:val="009128CD"/>
    <w:rsid w:val="00913836"/>
    <w:rsid w:val="009139D9"/>
    <w:rsid w:val="00914AD8"/>
    <w:rsid w:val="009150C4"/>
    <w:rsid w:val="00916079"/>
    <w:rsid w:val="00917CE9"/>
    <w:rsid w:val="00920BF2"/>
    <w:rsid w:val="00920D0B"/>
    <w:rsid w:val="0092185E"/>
    <w:rsid w:val="00922010"/>
    <w:rsid w:val="0092447E"/>
    <w:rsid w:val="00926165"/>
    <w:rsid w:val="009268BE"/>
    <w:rsid w:val="00926C93"/>
    <w:rsid w:val="009274DA"/>
    <w:rsid w:val="00931BD9"/>
    <w:rsid w:val="00932375"/>
    <w:rsid w:val="00932F6D"/>
    <w:rsid w:val="00933A0C"/>
    <w:rsid w:val="00933D0A"/>
    <w:rsid w:val="0093433F"/>
    <w:rsid w:val="00934C31"/>
    <w:rsid w:val="00935A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55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942"/>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E0"/>
    <w:rsid w:val="009C24F1"/>
    <w:rsid w:val="009C373D"/>
    <w:rsid w:val="009C403E"/>
    <w:rsid w:val="009C7672"/>
    <w:rsid w:val="009C7E88"/>
    <w:rsid w:val="009D2DCA"/>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449"/>
    <w:rsid w:val="00A048A8"/>
    <w:rsid w:val="00A04F49"/>
    <w:rsid w:val="00A103BF"/>
    <w:rsid w:val="00A12716"/>
    <w:rsid w:val="00A12914"/>
    <w:rsid w:val="00A13E54"/>
    <w:rsid w:val="00A14210"/>
    <w:rsid w:val="00A152BD"/>
    <w:rsid w:val="00A15862"/>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6097E"/>
    <w:rsid w:val="00A60B82"/>
    <w:rsid w:val="00A61499"/>
    <w:rsid w:val="00A62A77"/>
    <w:rsid w:val="00A63483"/>
    <w:rsid w:val="00A646A1"/>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4FB"/>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0641"/>
    <w:rsid w:val="00B71657"/>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0886"/>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0C6C"/>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031"/>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4A8"/>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3D7"/>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0D6"/>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57917"/>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0C37"/>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1790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1A2"/>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F66"/>
    <w:rsid w:val="00FD3FEA"/>
    <w:rsid w:val="00FD47ED"/>
    <w:rsid w:val="00FD5180"/>
    <w:rsid w:val="00FD74DB"/>
    <w:rsid w:val="00FD7660"/>
    <w:rsid w:val="00FE0655"/>
    <w:rsid w:val="00FE1061"/>
    <w:rsid w:val="00FE2365"/>
    <w:rsid w:val="00FE32CB"/>
    <w:rsid w:val="00FE37D7"/>
    <w:rsid w:val="00FE3E69"/>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38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1706833">
      <w:bodyDiv w:val="1"/>
      <w:marLeft w:val="0"/>
      <w:marRight w:val="0"/>
      <w:marTop w:val="0"/>
      <w:marBottom w:val="0"/>
      <w:divBdr>
        <w:top w:val="none" w:sz="0" w:space="0" w:color="auto"/>
        <w:left w:val="none" w:sz="0" w:space="0" w:color="auto"/>
        <w:bottom w:val="none" w:sz="0" w:space="0" w:color="auto"/>
        <w:right w:val="none" w:sz="0" w:space="0" w:color="auto"/>
      </w:divBdr>
      <w:divsChild>
        <w:div w:id="1985891651">
          <w:marLeft w:val="418"/>
          <w:marRight w:val="0"/>
          <w:marTop w:val="160"/>
          <w:marBottom w:val="0"/>
          <w:divBdr>
            <w:top w:val="none" w:sz="0" w:space="0" w:color="auto"/>
            <w:left w:val="none" w:sz="0" w:space="0" w:color="auto"/>
            <w:bottom w:val="none" w:sz="0" w:space="0" w:color="auto"/>
            <w:right w:val="none" w:sz="0" w:space="0" w:color="auto"/>
          </w:divBdr>
        </w:div>
        <w:div w:id="1879076070">
          <w:marLeft w:val="850"/>
          <w:marRight w:val="0"/>
          <w:marTop w:val="160"/>
          <w:marBottom w:val="0"/>
          <w:divBdr>
            <w:top w:val="none" w:sz="0" w:space="0" w:color="auto"/>
            <w:left w:val="none" w:sz="0" w:space="0" w:color="auto"/>
            <w:bottom w:val="none" w:sz="0" w:space="0" w:color="auto"/>
            <w:right w:val="none" w:sz="0" w:space="0" w:color="auto"/>
          </w:divBdr>
        </w:div>
        <w:div w:id="1043678872">
          <w:marLeft w:val="850"/>
          <w:marRight w:val="0"/>
          <w:marTop w:val="160"/>
          <w:marBottom w:val="0"/>
          <w:divBdr>
            <w:top w:val="none" w:sz="0" w:space="0" w:color="auto"/>
            <w:left w:val="none" w:sz="0" w:space="0" w:color="auto"/>
            <w:bottom w:val="none" w:sz="0" w:space="0" w:color="auto"/>
            <w:right w:val="none" w:sz="0" w:space="0" w:color="auto"/>
          </w:divBdr>
        </w:div>
        <w:div w:id="314189332">
          <w:marLeft w:val="850"/>
          <w:marRight w:val="0"/>
          <w:marTop w:val="160"/>
          <w:marBottom w:val="0"/>
          <w:divBdr>
            <w:top w:val="none" w:sz="0" w:space="0" w:color="auto"/>
            <w:left w:val="none" w:sz="0" w:space="0" w:color="auto"/>
            <w:bottom w:val="none" w:sz="0" w:space="0" w:color="auto"/>
            <w:right w:val="none" w:sz="0" w:space="0" w:color="auto"/>
          </w:divBdr>
        </w:div>
        <w:div w:id="1800227363">
          <w:marLeft w:val="850"/>
          <w:marRight w:val="0"/>
          <w:marTop w:val="160"/>
          <w:marBottom w:val="0"/>
          <w:divBdr>
            <w:top w:val="none" w:sz="0" w:space="0" w:color="auto"/>
            <w:left w:val="none" w:sz="0" w:space="0" w:color="auto"/>
            <w:bottom w:val="none" w:sz="0" w:space="0" w:color="auto"/>
            <w:right w:val="none" w:sz="0" w:space="0" w:color="auto"/>
          </w:divBdr>
        </w:div>
      </w:divsChild>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506150">
      <w:bodyDiv w:val="1"/>
      <w:marLeft w:val="0"/>
      <w:marRight w:val="0"/>
      <w:marTop w:val="0"/>
      <w:marBottom w:val="0"/>
      <w:divBdr>
        <w:top w:val="none" w:sz="0" w:space="0" w:color="auto"/>
        <w:left w:val="none" w:sz="0" w:space="0" w:color="auto"/>
        <w:bottom w:val="none" w:sz="0" w:space="0" w:color="auto"/>
        <w:right w:val="none" w:sz="0" w:space="0" w:color="auto"/>
      </w:divBdr>
      <w:divsChild>
        <w:div w:id="250894636">
          <w:marLeft w:val="418"/>
          <w:marRight w:val="0"/>
          <w:marTop w:val="160"/>
          <w:marBottom w:val="0"/>
          <w:divBdr>
            <w:top w:val="none" w:sz="0" w:space="0" w:color="auto"/>
            <w:left w:val="none" w:sz="0" w:space="0" w:color="auto"/>
            <w:bottom w:val="none" w:sz="0" w:space="0" w:color="auto"/>
            <w:right w:val="none" w:sz="0" w:space="0" w:color="auto"/>
          </w:divBdr>
        </w:div>
        <w:div w:id="988285283">
          <w:marLeft w:val="850"/>
          <w:marRight w:val="0"/>
          <w:marTop w:val="160"/>
          <w:marBottom w:val="0"/>
          <w:divBdr>
            <w:top w:val="none" w:sz="0" w:space="0" w:color="auto"/>
            <w:left w:val="none" w:sz="0" w:space="0" w:color="auto"/>
            <w:bottom w:val="none" w:sz="0" w:space="0" w:color="auto"/>
            <w:right w:val="none" w:sz="0" w:space="0" w:color="auto"/>
          </w:divBdr>
        </w:div>
        <w:div w:id="2029527764">
          <w:marLeft w:val="418"/>
          <w:marRight w:val="0"/>
          <w:marTop w:val="160"/>
          <w:marBottom w:val="0"/>
          <w:divBdr>
            <w:top w:val="none" w:sz="0" w:space="0" w:color="auto"/>
            <w:left w:val="none" w:sz="0" w:space="0" w:color="auto"/>
            <w:bottom w:val="none" w:sz="0" w:space="0" w:color="auto"/>
            <w:right w:val="none" w:sz="0" w:space="0" w:color="auto"/>
          </w:divBdr>
        </w:div>
      </w:divsChild>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34DF16-E284-C44D-8A24-59AD617ECBB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FB27560-AF00-49D4-954B-DDD910FF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2023-09-28T07:54:00Z</dcterms:created>
  <dcterms:modified xsi:type="dcterms:W3CDTF">2023-09-28T07:54:00Z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